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1"/>
        <w:tblpPr w:leftFromText="180" w:rightFromText="180" w:vertAnchor="page" w:horzAnchor="page" w:tblpX="7591" w:tblpY="1126"/>
        <w:tblW w:w="2982" w:type="dxa"/>
        <w:tblInd w:w="0" w:type="dxa"/>
        <w:tblLayout w:type="fixed"/>
        <w:tblCellMar>
          <w:top w:w="0" w:type="dxa"/>
          <w:left w:w="0" w:type="dxa"/>
          <w:bottom w:w="0" w:type="dxa"/>
          <w:right w:w="28" w:type="dxa"/>
        </w:tblCellMar>
      </w:tblPr>
      <w:tblGrid>
        <w:gridCol w:w="1491"/>
        <w:gridCol w:w="1491"/>
      </w:tblGrid>
      <w:tr>
        <w:tblPrEx>
          <w:tblLayout w:type="fixed"/>
        </w:tblPrEx>
        <w:trPr>
          <w:trHeight w:val="340" w:hRule="exact"/>
        </w:trPr>
        <w:tc>
          <w:tcPr>
            <w:tcW w:w="1491" w:type="dxa"/>
            <w:vAlign w:val="center"/>
          </w:tcPr>
          <w:p>
            <w:pPr>
              <w:ind w:left="301" w:right="462" w:hanging="301" w:hangingChars="137"/>
              <w:jc w:val="both"/>
              <w:rPr>
                <w:rFonts w:ascii="宋体" w:hAnsi="宋体" w:cs="微软雅黑"/>
                <w:szCs w:val="21"/>
              </w:rPr>
            </w:pPr>
            <w:r>
              <w:rPr>
                <w:rFonts w:hint="eastAsia" w:ascii="宋体" w:hAnsi="宋体" w:cs="微软雅黑"/>
                <w:szCs w:val="21"/>
              </w:rPr>
              <w:t>创建日期:</w:t>
            </w:r>
          </w:p>
        </w:tc>
        <w:tc>
          <w:tcPr>
            <w:tcW w:w="1491" w:type="dxa"/>
            <w:vAlign w:val="center"/>
          </w:tcPr>
          <w:p>
            <w:pPr>
              <w:ind w:right="-61"/>
              <w:jc w:val="both"/>
              <w:rPr>
                <w:rFonts w:ascii="宋体" w:hAnsi="宋体" w:cs="微软雅黑"/>
                <w:szCs w:val="21"/>
              </w:rPr>
            </w:pPr>
            <w:r>
              <w:rPr>
                <w:rFonts w:hint="eastAsia" w:ascii="宋体" w:hAnsi="宋体" w:cs="微软雅黑"/>
                <w:szCs w:val="21"/>
              </w:rPr>
              <w:t>2017-03-04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340" w:hRule="exact"/>
        </w:trPr>
        <w:tc>
          <w:tcPr>
            <w:tcW w:w="1491" w:type="dxa"/>
            <w:vAlign w:val="center"/>
          </w:tcPr>
          <w:p>
            <w:pPr>
              <w:ind w:right="-61"/>
              <w:jc w:val="both"/>
              <w:rPr>
                <w:rFonts w:ascii="宋体" w:hAnsi="宋体" w:cs="微软雅黑"/>
                <w:szCs w:val="21"/>
              </w:rPr>
            </w:pPr>
            <w:r>
              <w:rPr>
                <w:rFonts w:hint="eastAsia" w:ascii="宋体" w:hAnsi="宋体" w:cs="微软雅黑"/>
                <w:szCs w:val="21"/>
              </w:rPr>
              <w:t>修改日期:</w:t>
            </w:r>
          </w:p>
        </w:tc>
        <w:tc>
          <w:tcPr>
            <w:tcW w:w="1491" w:type="dxa"/>
            <w:vAlign w:val="center"/>
          </w:tcPr>
          <w:p>
            <w:pPr>
              <w:ind w:right="-61"/>
              <w:jc w:val="both"/>
              <w:rPr>
                <w:rFonts w:ascii="宋体" w:hAnsi="宋体" w:cs="微软雅黑"/>
                <w:szCs w:val="21"/>
              </w:rPr>
            </w:pPr>
            <w:r>
              <w:rPr>
                <w:rFonts w:hint="eastAsia" w:ascii="宋体" w:hAnsi="宋体" w:cs="微软雅黑"/>
                <w:szCs w:val="21"/>
              </w:rPr>
              <w:t>2017-03-04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28" w:type="dxa"/>
          </w:tblCellMar>
        </w:tblPrEx>
        <w:trPr>
          <w:trHeight w:val="340" w:hRule="exact"/>
        </w:trPr>
        <w:tc>
          <w:tcPr>
            <w:tcW w:w="1491" w:type="dxa"/>
            <w:vAlign w:val="center"/>
          </w:tcPr>
          <w:p>
            <w:pPr>
              <w:ind w:right="-61"/>
              <w:jc w:val="both"/>
              <w:rPr>
                <w:rFonts w:ascii="宋体" w:hAnsi="宋体" w:cs="微软雅黑"/>
                <w:szCs w:val="21"/>
              </w:rPr>
            </w:pPr>
            <w:r>
              <w:rPr>
                <w:rFonts w:hint="eastAsia" w:ascii="宋体" w:hAnsi="宋体" w:cs="微软雅黑"/>
                <w:szCs w:val="21"/>
              </w:rPr>
              <w:t>产品版本:</w:t>
            </w:r>
          </w:p>
        </w:tc>
        <w:tc>
          <w:tcPr>
            <w:tcW w:w="1491" w:type="dxa"/>
            <w:vAlign w:val="center"/>
          </w:tcPr>
          <w:p>
            <w:pPr>
              <w:ind w:right="-61"/>
              <w:jc w:val="both"/>
              <w:rPr>
                <w:rFonts w:ascii="宋体" w:hAnsi="宋体" w:cs="微软雅黑"/>
                <w:szCs w:val="21"/>
              </w:rPr>
            </w:pPr>
            <w:r>
              <w:rPr>
                <w:rFonts w:hint="eastAsia" w:ascii="宋体" w:hAnsi="宋体" w:cs="微软雅黑"/>
                <w:szCs w:val="21"/>
              </w:rPr>
              <w:t>1.0</w:t>
            </w:r>
          </w:p>
        </w:tc>
      </w:tr>
    </w:tbl>
    <w:p>
      <w:pPr>
        <w:ind w:right="1685" w:rightChars="766"/>
      </w:pPr>
      <w:r>
        <w:drawing>
          <wp:inline distT="0" distB="0" distL="0" distR="0">
            <wp:extent cx="2026285" cy="716915"/>
            <wp:effectExtent l="0" t="0" r="0" b="6985"/>
            <wp:docPr id="16" name="图片框 1025" descr="中文彩色白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框 1025" descr="中文彩色白底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4" w:name="_GoBack"/>
      <w:bookmarkEnd w:id="44"/>
    </w:p>
    <w:p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267335</wp:posOffset>
                </wp:positionV>
                <wp:extent cx="6567805" cy="1040765"/>
                <wp:effectExtent l="635" t="635" r="3810" b="0"/>
                <wp:wrapNone/>
                <wp:docPr id="20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7805" cy="104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spacing w:line="200" w:lineRule="atLeast"/>
                              <w:jc w:val="center"/>
                              <w:rPr>
                                <w:rFonts w:ascii="Cambria" w:hAnsi="Cambria" w:cs="Calibri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Cambria" w:hAnsi="Cambria" w:cs="Calibri"/>
                                <w:b/>
                                <w:sz w:val="44"/>
                                <w:szCs w:val="44"/>
                              </w:rPr>
                              <w:t>1.5M 旋转舞台灯架</w:t>
                            </w:r>
                          </w:p>
                          <w:p>
                            <w:pPr>
                              <w:pStyle w:val="34"/>
                              <w:spacing w:line="200" w:lineRule="atLeast"/>
                              <w:jc w:val="center"/>
                              <w:rPr>
                                <w:rFonts w:ascii="Cambria" w:hAnsi="Cambria" w:cs="Calibri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Cambria" w:hAnsi="Cambria" w:cs="Calibri"/>
                                <w:b/>
                                <w:sz w:val="44"/>
                                <w:szCs w:val="44"/>
                              </w:rPr>
                              <w:t>用户手册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6" o:spid="_x0000_s1026" o:spt="1" style="position:absolute;left:0pt;margin-left:-4.45pt;margin-top:21.05pt;height:81.95pt;width:517.15pt;z-index:251656192;mso-width-relative:page;mso-height-relative:page;" fillcolor="#FFFFFF" filled="t" stroked="f" coordsize="21600,21600" o:gfxdata="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cBTatcAAAAKAQAADwAAAAAAAAABACAAAAAi&#10;AAAAZHJzL2Rvd25yZXYueG1sUEsBAhQAFAAAAAgAh07iQK9oesILAgAA6AMAAA4AAAAAAAAAAQAg&#10;AAAAJgEAAGRycy9lMm9Eb2MueG1sUEsFBgAAAAAGAAYAWQEAAKM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spacing w:line="200" w:lineRule="atLeast"/>
                        <w:jc w:val="center"/>
                        <w:rPr>
                          <w:rFonts w:ascii="Cambria" w:hAnsi="Cambria" w:cs="Calibri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Cambria" w:hAnsi="Cambria" w:cs="Calibri"/>
                          <w:b/>
                          <w:sz w:val="44"/>
                          <w:szCs w:val="44"/>
                        </w:rPr>
                        <w:t>1.5M 旋转舞台灯架</w:t>
                      </w:r>
                    </w:p>
                    <w:p>
                      <w:pPr>
                        <w:pStyle w:val="34"/>
                        <w:spacing w:line="200" w:lineRule="atLeast"/>
                        <w:jc w:val="center"/>
                        <w:rPr>
                          <w:rFonts w:ascii="Cambria" w:hAnsi="Cambria" w:cs="Calibri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Cambria" w:hAnsi="Cambria" w:cs="Calibri"/>
                          <w:b/>
                          <w:sz w:val="44"/>
                          <w:szCs w:val="44"/>
                        </w:rPr>
                        <w:t>用户手册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>
      <w:pPr>
        <w:spacing w:after="0" w:line="240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6409055" cy="3336290"/>
            <wp:effectExtent l="0" t="0" r="0" b="0"/>
            <wp:docPr id="15" name="图片 2" descr="F:\ShareData\RG产品资料\舞台机械\旋转灯架\Documents\Tencent Files\2834276584\Image\C2C\E]X19F@M$NG8AU_ESD)J8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F:\ShareData\RG产品资料\舞台机械\旋转灯架\Documents\Tencent Files\2834276584\Image\C2C\E]X19F@M$NG8AU_ESD)J8R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38"/>
        <w:spacing w:before="60"/>
        <w:jc w:val="center"/>
      </w:pPr>
      <w:bookmarkStart w:id="0" w:name="_Toc32339"/>
      <w:bookmarkStart w:id="1" w:name="_Toc24752"/>
      <w:r>
        <w:rPr>
          <w:color w:val="000000"/>
          <w:lang w:val="zh-CN"/>
        </w:rPr>
        <w:t>目录</w:t>
      </w:r>
      <w:bookmarkEnd w:id="0"/>
      <w:bookmarkEnd w:id="1"/>
      <w:r>
        <w:rPr>
          <w:bCs/>
        </w:rPr>
        <w:fldChar w:fldCharType="begin"/>
      </w:r>
      <w:r>
        <w:instrText xml:space="preserve">TOC \o "1-3" \h  \u </w:instrText>
      </w:r>
      <w:r>
        <w:rPr>
          <w:bCs/>
        </w:rPr>
        <w:fldChar w:fldCharType="separate"/>
      </w:r>
    </w:p>
    <w:p>
      <w:pPr>
        <w:pStyle w:val="20"/>
        <w:tabs>
          <w:tab w:val="left" w:pos="420"/>
          <w:tab w:val="right" w:leader="dot" w:pos="10002"/>
        </w:tabs>
        <w:rPr>
          <w:kern w:val="2"/>
          <w:sz w:val="21"/>
        </w:rPr>
      </w:pPr>
      <w:r>
        <w:fldChar w:fldCharType="begin"/>
      </w:r>
      <w:r>
        <w:instrText xml:space="preserve"> HYPERLINK \l "_Toc476556929" </w:instrText>
      </w:r>
      <w:r>
        <w:fldChar w:fldCharType="separate"/>
      </w:r>
      <w:r>
        <w:rPr>
          <w:rStyle w:val="30"/>
        </w:rPr>
        <w:t>1.</w:t>
      </w:r>
      <w:r>
        <w:rPr>
          <w:kern w:val="2"/>
          <w:sz w:val="21"/>
        </w:rPr>
        <w:tab/>
      </w:r>
      <w:r>
        <w:rPr>
          <w:rStyle w:val="30"/>
          <w:rFonts w:hint="eastAsia"/>
        </w:rPr>
        <w:t>一般信息</w:t>
      </w:r>
      <w:r>
        <w:tab/>
      </w:r>
      <w:r>
        <w:fldChar w:fldCharType="begin"/>
      </w:r>
      <w:r>
        <w:instrText xml:space="preserve"> PAGEREF _Toc476556929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left" w:pos="420"/>
          <w:tab w:val="right" w:leader="dot" w:pos="10002"/>
        </w:tabs>
        <w:rPr>
          <w:kern w:val="2"/>
          <w:sz w:val="21"/>
        </w:rPr>
      </w:pPr>
      <w:r>
        <w:fldChar w:fldCharType="begin"/>
      </w:r>
      <w:r>
        <w:instrText xml:space="preserve"> HYPERLINK \l "_Toc476556930" </w:instrText>
      </w:r>
      <w:r>
        <w:fldChar w:fldCharType="separate"/>
      </w:r>
      <w:r>
        <w:rPr>
          <w:rStyle w:val="30"/>
        </w:rPr>
        <w:t>2.</w:t>
      </w:r>
      <w:r>
        <w:rPr>
          <w:kern w:val="2"/>
          <w:sz w:val="21"/>
        </w:rPr>
        <w:tab/>
      </w:r>
      <w:r>
        <w:rPr>
          <w:rStyle w:val="30"/>
          <w:rFonts w:hint="eastAsia"/>
        </w:rPr>
        <w:t>技术参数</w:t>
      </w:r>
      <w:r>
        <w:tab/>
      </w:r>
      <w:r>
        <w:fldChar w:fldCharType="begin"/>
      </w:r>
      <w:r>
        <w:instrText xml:space="preserve"> PAGEREF _Toc476556930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left" w:pos="420"/>
          <w:tab w:val="right" w:leader="dot" w:pos="10002"/>
        </w:tabs>
        <w:rPr>
          <w:kern w:val="2"/>
          <w:sz w:val="21"/>
        </w:rPr>
      </w:pPr>
      <w:r>
        <w:fldChar w:fldCharType="begin"/>
      </w:r>
      <w:r>
        <w:instrText xml:space="preserve"> HYPERLINK \l "_Toc476556931" </w:instrText>
      </w:r>
      <w:r>
        <w:fldChar w:fldCharType="separate"/>
      </w:r>
      <w:r>
        <w:rPr>
          <w:rStyle w:val="30"/>
        </w:rPr>
        <w:t>3.</w:t>
      </w:r>
      <w:r>
        <w:rPr>
          <w:kern w:val="2"/>
          <w:sz w:val="21"/>
        </w:rPr>
        <w:tab/>
      </w:r>
      <w:r>
        <w:rPr>
          <w:rStyle w:val="30"/>
          <w:rFonts w:hint="eastAsia"/>
        </w:rPr>
        <w:t>安装方法</w:t>
      </w:r>
      <w:r>
        <w:tab/>
      </w:r>
      <w:r>
        <w:fldChar w:fldCharType="begin"/>
      </w:r>
      <w:r>
        <w:instrText xml:space="preserve"> PAGEREF _Toc476556931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4"/>
        <w:tabs>
          <w:tab w:val="left" w:pos="1260"/>
          <w:tab w:val="right" w:leader="dot" w:pos="10002"/>
        </w:tabs>
        <w:ind w:left="440"/>
        <w:rPr>
          <w:kern w:val="2"/>
          <w:sz w:val="21"/>
        </w:rPr>
      </w:pPr>
      <w:r>
        <w:fldChar w:fldCharType="begin"/>
      </w:r>
      <w:r>
        <w:instrText xml:space="preserve"> HYPERLINK \l "_Toc476556932" </w:instrText>
      </w:r>
      <w:r>
        <w:fldChar w:fldCharType="separate"/>
      </w:r>
      <w:r>
        <w:rPr>
          <w:rStyle w:val="30"/>
        </w:rPr>
        <w:t>3.1</w:t>
      </w:r>
      <w:r>
        <w:rPr>
          <w:kern w:val="2"/>
          <w:sz w:val="21"/>
        </w:rPr>
        <w:tab/>
      </w:r>
      <w:r>
        <w:rPr>
          <w:rStyle w:val="30"/>
          <w:rFonts w:hint="eastAsia"/>
        </w:rPr>
        <w:t>安装步骤</w:t>
      </w:r>
      <w:r>
        <w:tab/>
      </w:r>
      <w:r>
        <w:fldChar w:fldCharType="begin"/>
      </w:r>
      <w:r>
        <w:instrText xml:space="preserve"> PAGEREF _Toc476556932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4"/>
        <w:tabs>
          <w:tab w:val="left" w:pos="1260"/>
          <w:tab w:val="right" w:leader="dot" w:pos="10002"/>
        </w:tabs>
        <w:ind w:left="440"/>
        <w:rPr>
          <w:kern w:val="2"/>
          <w:sz w:val="21"/>
        </w:rPr>
      </w:pPr>
      <w:r>
        <w:fldChar w:fldCharType="begin"/>
      </w:r>
      <w:r>
        <w:instrText xml:space="preserve"> HYPERLINK \l "_Toc476556933" </w:instrText>
      </w:r>
      <w:r>
        <w:fldChar w:fldCharType="separate"/>
      </w:r>
      <w:r>
        <w:rPr>
          <w:rStyle w:val="30"/>
        </w:rPr>
        <w:t>3.2</w:t>
      </w:r>
      <w:r>
        <w:rPr>
          <w:kern w:val="2"/>
          <w:sz w:val="21"/>
        </w:rPr>
        <w:tab/>
      </w:r>
      <w:r>
        <w:rPr>
          <w:rStyle w:val="30"/>
          <w:rFonts w:hint="eastAsia"/>
        </w:rPr>
        <w:t>控制盒</w:t>
      </w:r>
      <w:r>
        <w:tab/>
      </w:r>
      <w:r>
        <w:fldChar w:fldCharType="begin"/>
      </w:r>
      <w:r>
        <w:instrText xml:space="preserve"> PAGEREF _Toc476556933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4"/>
        <w:tabs>
          <w:tab w:val="left" w:pos="1260"/>
          <w:tab w:val="right" w:leader="dot" w:pos="10002"/>
        </w:tabs>
        <w:ind w:left="440"/>
        <w:rPr>
          <w:kern w:val="2"/>
          <w:sz w:val="21"/>
        </w:rPr>
      </w:pPr>
      <w:r>
        <w:fldChar w:fldCharType="begin"/>
      </w:r>
      <w:r>
        <w:instrText xml:space="preserve"> HYPERLINK \l "_Toc476556934" </w:instrText>
      </w:r>
      <w:r>
        <w:fldChar w:fldCharType="separate"/>
      </w:r>
      <w:r>
        <w:rPr>
          <w:rStyle w:val="30"/>
        </w:rPr>
        <w:t>3.3</w:t>
      </w:r>
      <w:r>
        <w:rPr>
          <w:kern w:val="2"/>
          <w:sz w:val="21"/>
        </w:rPr>
        <w:tab/>
      </w:r>
      <w:r>
        <w:rPr>
          <w:rStyle w:val="30"/>
        </w:rPr>
        <w:t>DMX</w:t>
      </w:r>
      <w:r>
        <w:rPr>
          <w:rStyle w:val="30"/>
          <w:rFonts w:hint="eastAsia"/>
        </w:rPr>
        <w:t>通道</w:t>
      </w:r>
      <w:r>
        <w:tab/>
      </w:r>
      <w:r>
        <w:fldChar w:fldCharType="begin"/>
      </w:r>
      <w:r>
        <w:instrText xml:space="preserve"> PAGEREF _Toc476556934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4"/>
        <w:tabs>
          <w:tab w:val="left" w:pos="1260"/>
          <w:tab w:val="right" w:leader="dot" w:pos="10002"/>
        </w:tabs>
        <w:ind w:left="440"/>
        <w:rPr>
          <w:kern w:val="2"/>
          <w:sz w:val="21"/>
        </w:rPr>
      </w:pPr>
      <w:r>
        <w:fldChar w:fldCharType="begin"/>
      </w:r>
      <w:r>
        <w:instrText xml:space="preserve"> HYPERLINK \l "_Toc476556935" </w:instrText>
      </w:r>
      <w:r>
        <w:fldChar w:fldCharType="separate"/>
      </w:r>
      <w:r>
        <w:rPr>
          <w:rStyle w:val="30"/>
        </w:rPr>
        <w:t>3.4</w:t>
      </w:r>
      <w:r>
        <w:rPr>
          <w:kern w:val="2"/>
          <w:sz w:val="21"/>
        </w:rPr>
        <w:tab/>
      </w:r>
      <w:r>
        <w:rPr>
          <w:rStyle w:val="30"/>
          <w:rFonts w:hint="eastAsia"/>
        </w:rPr>
        <w:t>灯具连接</w:t>
      </w:r>
      <w:r>
        <w:tab/>
      </w:r>
      <w:r>
        <w:fldChar w:fldCharType="begin"/>
      </w:r>
      <w:r>
        <w:instrText xml:space="preserve"> PAGEREF _Toc476556935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0"/>
        <w:tabs>
          <w:tab w:val="left" w:pos="420"/>
          <w:tab w:val="right" w:leader="dot" w:pos="10002"/>
        </w:tabs>
        <w:rPr>
          <w:kern w:val="2"/>
          <w:sz w:val="21"/>
        </w:rPr>
      </w:pPr>
      <w:r>
        <w:fldChar w:fldCharType="begin"/>
      </w:r>
      <w:r>
        <w:instrText xml:space="preserve"> HYPERLINK \l "_Toc476556936" </w:instrText>
      </w:r>
      <w:r>
        <w:fldChar w:fldCharType="separate"/>
      </w:r>
      <w:r>
        <w:rPr>
          <w:rStyle w:val="30"/>
        </w:rPr>
        <w:t>4.</w:t>
      </w:r>
      <w:r>
        <w:rPr>
          <w:kern w:val="2"/>
          <w:sz w:val="21"/>
        </w:rPr>
        <w:tab/>
      </w:r>
      <w:r>
        <w:rPr>
          <w:rStyle w:val="30"/>
          <w:rFonts w:hint="eastAsia"/>
        </w:rPr>
        <w:t>修订记录</w:t>
      </w:r>
      <w:r>
        <w:tab/>
      </w:r>
      <w:r>
        <w:fldChar w:fldCharType="begin"/>
      </w:r>
      <w:r>
        <w:instrText xml:space="preserve"> PAGEREF _Toc476556936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left" w:pos="420"/>
          <w:tab w:val="right" w:leader="dot" w:pos="10002"/>
        </w:tabs>
        <w:rPr>
          <w:kern w:val="2"/>
          <w:sz w:val="21"/>
        </w:rPr>
      </w:pPr>
      <w:r>
        <w:fldChar w:fldCharType="begin"/>
      </w:r>
      <w:r>
        <w:instrText xml:space="preserve"> HYPERLINK \l "_Toc476556937" </w:instrText>
      </w:r>
      <w:r>
        <w:fldChar w:fldCharType="separate"/>
      </w:r>
      <w:r>
        <w:rPr>
          <w:rStyle w:val="30"/>
        </w:rPr>
        <w:t>5.</w:t>
      </w:r>
      <w:r>
        <w:rPr>
          <w:kern w:val="2"/>
          <w:sz w:val="21"/>
        </w:rPr>
        <w:tab/>
      </w:r>
      <w:r>
        <w:rPr>
          <w:rStyle w:val="30"/>
          <w:rFonts w:hint="eastAsia"/>
        </w:rPr>
        <w:t>重要声明</w:t>
      </w:r>
      <w:r>
        <w:tab/>
      </w:r>
      <w:r>
        <w:fldChar w:fldCharType="begin"/>
      </w:r>
      <w:r>
        <w:instrText xml:space="preserve"> PAGEREF _Toc476556937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r>
        <w:fldChar w:fldCharType="end"/>
      </w:r>
    </w:p>
    <w:p/>
    <w:p/>
    <w:p/>
    <w:p/>
    <w:p/>
    <w:p/>
    <w:p/>
    <w:p/>
    <w:p/>
    <w:p/>
    <w:p/>
    <w:p/>
    <w:p>
      <w:pPr>
        <w:pStyle w:val="2"/>
        <w:numPr>
          <w:ilvl w:val="0"/>
          <w:numId w:val="1"/>
        </w:numPr>
      </w:pPr>
      <w:bookmarkStart w:id="2" w:name="_Toc15680"/>
      <w:bookmarkStart w:id="3" w:name="_Toc384126008"/>
      <w:bookmarkStart w:id="4" w:name="_Toc384126033"/>
      <w:bookmarkStart w:id="5" w:name="_Toc476556929"/>
      <w:bookmarkStart w:id="6" w:name="_Toc384126054"/>
      <w:bookmarkStart w:id="7" w:name="_Toc17094"/>
      <w:r>
        <w:rPr>
          <w:rFonts w:hint="eastAsia"/>
        </w:rPr>
        <w:t>一般信息</w:t>
      </w:r>
      <w:bookmarkEnd w:id="2"/>
      <w:bookmarkEnd w:id="3"/>
      <w:bookmarkEnd w:id="4"/>
      <w:bookmarkEnd w:id="5"/>
      <w:bookmarkEnd w:id="6"/>
      <w:bookmarkEnd w:id="7"/>
    </w:p>
    <w:p>
      <w:pPr>
        <w:pStyle w:val="13"/>
        <w:adjustRightInd w:val="0"/>
        <w:snapToGrid w:val="0"/>
        <w:spacing w:line="312" w:lineRule="auto"/>
        <w:rPr>
          <w:rFonts w:hint="default" w:cs="宋体"/>
          <w:sz w:val="28"/>
          <w:szCs w:val="28"/>
        </w:rPr>
      </w:pPr>
      <w:r>
        <w:rPr>
          <w:rFonts w:cs="宋体"/>
          <w:b/>
          <w:w w:val="95"/>
          <w:position w:val="1"/>
          <w:sz w:val="28"/>
          <w:szCs w:val="28"/>
        </w:rPr>
        <w:t>关于拆包</w:t>
      </w:r>
      <w:r>
        <w:rPr>
          <w:rFonts w:cs="宋体"/>
          <w:w w:val="95"/>
          <w:position w:val="1"/>
          <w:sz w:val="28"/>
          <w:szCs w:val="28"/>
        </w:rPr>
        <w:t xml:space="preserve"> : 感谢您购买本设备。每一个设备出厂前都被彻底的测试，保证完美运行。 仔细检查货箱在运输过程中是否发生损坏。如果纸箱出现损坏，请仔细检查您的灯具是否有 损坏，并确保所有配件完整并且功能模块完好。如果已损坏或部分配件丢失，请联系我们的 客户团队获得进一步的协助。请不要在没有联系客服和经销商的情况下返回本机。</w:t>
      </w:r>
    </w:p>
    <w:p>
      <w:pPr>
        <w:pStyle w:val="13"/>
        <w:adjustRightInd w:val="0"/>
        <w:snapToGrid w:val="0"/>
        <w:spacing w:line="312" w:lineRule="auto"/>
        <w:rPr>
          <w:rFonts w:hint="default" w:cs="宋体"/>
          <w:w w:val="95"/>
          <w:position w:val="1"/>
          <w:sz w:val="28"/>
          <w:szCs w:val="28"/>
        </w:rPr>
      </w:pPr>
      <w:r>
        <w:rPr>
          <w:rFonts w:cs="宋体"/>
          <w:b/>
          <w:w w:val="95"/>
          <w:position w:val="1"/>
          <w:sz w:val="28"/>
          <w:szCs w:val="28"/>
        </w:rPr>
        <w:t>客户服务支持</w:t>
      </w:r>
      <w:r>
        <w:rPr>
          <w:rFonts w:cs="宋体"/>
          <w:w w:val="95"/>
          <w:position w:val="1"/>
          <w:sz w:val="28"/>
          <w:szCs w:val="28"/>
        </w:rPr>
        <w:t xml:space="preserve">：我们提供了客户服务热线，以便为你提供帮助和回答产品的相关问题。 如果您在操作过程中遇到任何问题，您也可以访问我们的在 </w:t>
      </w:r>
      <w:r>
        <w:fldChar w:fldCharType="begin"/>
      </w:r>
      <w:r>
        <w:instrText xml:space="preserve"> HYPERLINK "http://www.rigelighting.com/" </w:instrText>
      </w:r>
      <w:r>
        <w:fldChar w:fldCharType="separate"/>
      </w:r>
      <w:r>
        <w:rPr>
          <w:rFonts w:cs="宋体"/>
          <w:w w:val="95"/>
          <w:position w:val="1"/>
          <w:sz w:val="28"/>
          <w:szCs w:val="28"/>
        </w:rPr>
        <w:t>www.rigelighting.com</w:t>
      </w:r>
      <w:r>
        <w:rPr>
          <w:rFonts w:cs="宋体"/>
          <w:w w:val="95"/>
          <w:position w:val="1"/>
          <w:sz w:val="28"/>
          <w:szCs w:val="28"/>
        </w:rPr>
        <w:fldChar w:fldCharType="end"/>
      </w:r>
      <w:r>
        <w:rPr>
          <w:rFonts w:cs="宋体"/>
          <w:w w:val="95"/>
          <w:position w:val="1"/>
          <w:sz w:val="28"/>
          <w:szCs w:val="28"/>
        </w:rPr>
        <w:t xml:space="preserve"> 网络 , 并且留下你的宝贵意见或建议。对于服务相关的问题，请联系我们。服务时间请参考以下的 工作时间。</w:t>
      </w:r>
    </w:p>
    <w:p>
      <w:pPr>
        <w:pStyle w:val="13"/>
        <w:spacing w:before="194" w:line="220" w:lineRule="auto"/>
        <w:rPr>
          <w:rFonts w:hint="default" w:cs="宋体"/>
          <w:szCs w:val="24"/>
        </w:rPr>
      </w:pPr>
    </w:p>
    <w:tbl>
      <w:tblPr>
        <w:tblStyle w:val="31"/>
        <w:tblpPr w:leftFromText="180" w:rightFromText="180" w:vertAnchor="text" w:horzAnchor="page" w:tblpXSpec="center" w:tblpY="-177"/>
        <w:tblOverlap w:val="never"/>
        <w:tblW w:w="847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524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服务电话：</w:t>
            </w:r>
          </w:p>
        </w:tc>
        <w:tc>
          <w:tcPr>
            <w:tcW w:w="5245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+8620-</w:t>
            </w:r>
            <w:r>
              <w:rPr>
                <w:rFonts w:ascii="宋体" w:hAnsi="宋体" w:eastAsia="宋体" w:cs="宋体"/>
                <w:sz w:val="21"/>
                <w:szCs w:val="21"/>
              </w:rPr>
              <w:t>62903200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技服邮箱：</w:t>
            </w:r>
          </w:p>
        </w:tc>
        <w:tc>
          <w:tcPr>
            <w:tcW w:w="5245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"mailto:support@rigelighting.com" </w:instrText>
            </w:r>
            <w:r>
              <w:fldChar w:fldCharType="separate"/>
            </w:r>
            <w:r>
              <w:rPr>
                <w:rStyle w:val="30"/>
                <w:rFonts w:hint="eastAsia" w:ascii="宋体" w:hAnsi="宋体" w:eastAsia="宋体" w:cs="宋体"/>
                <w:sz w:val="21"/>
                <w:szCs w:val="21"/>
              </w:rPr>
              <w:t>support@rigelighting.com</w:t>
            </w:r>
            <w:r>
              <w:rPr>
                <w:rStyle w:val="30"/>
                <w:rFonts w:hint="eastAsia" w:ascii="宋体" w:hAnsi="宋体" w:eastAsia="宋体" w:cs="宋体"/>
                <w:sz w:val="21"/>
                <w:szCs w:val="21"/>
              </w:rPr>
              <w:fldChar w:fldCharType="end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(QQ、MSN as same)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网址：</w:t>
            </w:r>
          </w:p>
        </w:tc>
        <w:tc>
          <w:tcPr>
            <w:tcW w:w="5245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"http://www.rigelighting.com/" </w:instrText>
            </w:r>
            <w:r>
              <w:fldChar w:fldCharType="separate"/>
            </w:r>
            <w:r>
              <w:rPr>
                <w:rStyle w:val="30"/>
                <w:rFonts w:hint="eastAsia" w:ascii="宋体" w:hAnsi="宋体" w:eastAsia="宋体" w:cs="宋体"/>
                <w:sz w:val="21"/>
                <w:szCs w:val="21"/>
              </w:rPr>
              <w:t>http://www.rigelighting.com</w:t>
            </w:r>
            <w:r>
              <w:rPr>
                <w:rStyle w:val="30"/>
                <w:rFonts w:hint="eastAsia" w:ascii="宋体" w:hAnsi="宋体" w:eastAsia="宋体" w:cs="宋体"/>
                <w:sz w:val="21"/>
                <w:szCs w:val="21"/>
              </w:rPr>
              <w:fldChar w:fldCharType="end"/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手机网址：</w:t>
            </w:r>
          </w:p>
        </w:tc>
        <w:tc>
          <w:tcPr>
            <w:tcW w:w="5245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http://www.rige.mobi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投诉与建议：</w:t>
            </w:r>
          </w:p>
        </w:tc>
        <w:tc>
          <w:tcPr>
            <w:tcW w:w="5245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"mailto:complaint@rigelighting.com" </w:instrText>
            </w:r>
            <w:r>
              <w:fldChar w:fldCharType="separate"/>
            </w:r>
            <w:r>
              <w:rPr>
                <w:rStyle w:val="30"/>
                <w:rFonts w:hint="eastAsia" w:ascii="宋体" w:hAnsi="宋体" w:eastAsia="宋体" w:cs="宋体"/>
                <w:sz w:val="21"/>
                <w:szCs w:val="21"/>
              </w:rPr>
              <w:t>complaint@rigelighting.com</w:t>
            </w:r>
            <w:r>
              <w:rPr>
                <w:rStyle w:val="30"/>
                <w:rFonts w:hint="eastAsia" w:ascii="宋体" w:hAnsi="宋体" w:eastAsia="宋体" w:cs="宋体"/>
                <w:sz w:val="21"/>
                <w:szCs w:val="21"/>
              </w:rPr>
              <w:fldChar w:fldCharType="end"/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工作时间：</w:t>
            </w:r>
          </w:p>
        </w:tc>
        <w:tc>
          <w:tcPr>
            <w:tcW w:w="5245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北京时间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>
            <w:pPr>
              <w:pStyle w:val="35"/>
              <w:wordWrap w:val="0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星期一至星期五：</w:t>
            </w:r>
          </w:p>
        </w:tc>
        <w:tc>
          <w:tcPr>
            <w:tcW w:w="5245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08:00~12:00  13:30~17:30  18:30~20:30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星期六：</w:t>
            </w:r>
          </w:p>
        </w:tc>
        <w:tc>
          <w:tcPr>
            <w:tcW w:w="5245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09:00~12:00  13:30~17:00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5245" w:type="dxa"/>
            <w:vAlign w:val="center"/>
          </w:tcPr>
          <w:p>
            <w:pPr>
              <w:pStyle w:val="35"/>
              <w:ind w:right="-64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注：中国的法定节假日全部休息！</w:t>
            </w:r>
          </w:p>
        </w:tc>
      </w:tr>
    </w:tbl>
    <w:p>
      <w:pPr>
        <w:pStyle w:val="13"/>
        <w:spacing w:before="194" w:line="220" w:lineRule="auto"/>
        <w:rPr>
          <w:rFonts w:hint="default" w:cs="宋体"/>
          <w:szCs w:val="24"/>
        </w:rPr>
      </w:pPr>
    </w:p>
    <w:p>
      <w:pPr>
        <w:pStyle w:val="3"/>
        <w:spacing w:line="162" w:lineRule="auto"/>
        <w:rPr>
          <w:i/>
          <w:w w:val="95"/>
        </w:rPr>
      </w:pPr>
    </w:p>
    <w:p>
      <w:pPr>
        <w:pStyle w:val="3"/>
        <w:spacing w:line="162" w:lineRule="auto"/>
        <w:ind w:left="107" w:firstLine="453"/>
        <w:rPr>
          <w:i/>
          <w:w w:val="95"/>
        </w:rPr>
      </w:pPr>
    </w:p>
    <w:p>
      <w:pPr>
        <w:pStyle w:val="3"/>
        <w:spacing w:line="162" w:lineRule="auto"/>
        <w:ind w:left="107" w:firstLine="453"/>
        <w:rPr>
          <w:i/>
          <w:w w:val="95"/>
        </w:rPr>
      </w:pPr>
    </w:p>
    <w:p>
      <w:pPr>
        <w:pStyle w:val="3"/>
        <w:spacing w:line="162" w:lineRule="auto"/>
        <w:ind w:left="107" w:firstLine="453"/>
        <w:rPr>
          <w:i/>
          <w:w w:val="95"/>
        </w:rPr>
      </w:pPr>
    </w:p>
    <w:p>
      <w:pPr>
        <w:spacing w:before="16" w:line="320" w:lineRule="exact"/>
        <w:rPr>
          <w:rFonts w:eastAsia="Times New Roman"/>
          <w:sz w:val="32"/>
        </w:rPr>
      </w:pPr>
    </w:p>
    <w:p>
      <w:pPr>
        <w:spacing w:line="162" w:lineRule="auto"/>
        <w:ind w:left="107" w:firstLine="453"/>
        <w:rPr>
          <w:rFonts w:ascii="微软雅黑" w:hAnsi="微软雅黑" w:eastAsia="微软雅黑"/>
          <w:w w:val="95"/>
          <w:sz w:val="29"/>
        </w:rPr>
      </w:pPr>
    </w:p>
    <w:p>
      <w:pPr>
        <w:spacing w:line="162" w:lineRule="auto"/>
        <w:ind w:left="107" w:firstLine="453"/>
        <w:rPr>
          <w:rFonts w:ascii="宋体" w:hAnsi="宋体" w:cs="宋体"/>
          <w:b/>
          <w:w w:val="95"/>
          <w:position w:val="1"/>
          <w:sz w:val="28"/>
          <w:szCs w:val="28"/>
        </w:rPr>
      </w:pPr>
      <w:r>
        <w:rPr>
          <w:rFonts w:ascii="宋体" w:hAnsi="宋体" w:cs="宋体"/>
          <w:b/>
          <w:w w:val="95"/>
          <w:position w:val="1"/>
          <w:sz w:val="28"/>
          <w:szCs w:val="28"/>
        </w:rPr>
        <w:t>注意！本机内没有用户可自行维修的部件。不要尝试任何形式的修理，这样做将导致您保修无效。</w:t>
      </w:r>
    </w:p>
    <w:p>
      <w:pPr>
        <w:spacing w:line="408" w:lineRule="exact"/>
        <w:ind w:firstLine="267" w:firstLineChars="100"/>
        <w:rPr>
          <w:rFonts w:ascii="宋体" w:hAnsi="宋体" w:cs="宋体"/>
          <w:b/>
          <w:w w:val="95"/>
          <w:position w:val="1"/>
          <w:sz w:val="28"/>
          <w:szCs w:val="28"/>
        </w:rPr>
      </w:pPr>
      <w:r>
        <w:rPr>
          <w:rFonts w:ascii="宋体" w:hAnsi="宋体" w:cs="宋体"/>
          <w:b/>
          <w:w w:val="95"/>
          <w:position w:val="1"/>
          <w:sz w:val="28"/>
          <w:szCs w:val="28"/>
        </w:rPr>
        <w:t>重要提示：因忽视本用户手册中的说明所造成的损坏概不保修</w:t>
      </w:r>
      <w:r>
        <w:rPr>
          <w:rFonts w:hint="eastAsia" w:ascii="宋体" w:hAnsi="宋体" w:cs="宋体"/>
          <w:b/>
          <w:w w:val="95"/>
          <w:position w:val="1"/>
          <w:sz w:val="28"/>
          <w:szCs w:val="28"/>
        </w:rPr>
        <w:t>。</w:t>
      </w:r>
    </w:p>
    <w:p>
      <w:pPr>
        <w:spacing w:line="408" w:lineRule="exact"/>
        <w:rPr>
          <w:rFonts w:ascii="微软雅黑" w:hAnsi="微软雅黑" w:eastAsia="微软雅黑"/>
          <w:sz w:val="29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11" w:h="16838"/>
          <w:pgMar w:top="782" w:right="901" w:bottom="1140" w:left="998" w:header="590" w:footer="952" w:gutter="0"/>
          <w:pgNumType w:start="1"/>
          <w:cols w:space="720" w:num="1"/>
          <w:titlePg/>
          <w:docGrid w:type="lines" w:linePitch="312" w:charSpace="0"/>
        </w:sectPr>
      </w:pPr>
    </w:p>
    <w:p/>
    <w:p>
      <w:pPr>
        <w:pStyle w:val="2"/>
        <w:numPr>
          <w:ilvl w:val="0"/>
          <w:numId w:val="1"/>
        </w:numPr>
        <w:spacing w:before="340" w:after="330"/>
      </w:pPr>
      <w:bookmarkStart w:id="8" w:name="_Toc384126012"/>
      <w:bookmarkStart w:id="9" w:name="_Toc5504"/>
      <w:bookmarkStart w:id="10" w:name="_Toc22000"/>
      <w:bookmarkStart w:id="11" w:name="_Toc384126058"/>
      <w:bookmarkStart w:id="12" w:name="_Toc384126037"/>
      <w:bookmarkStart w:id="13" w:name="_Toc476556930"/>
      <w:r>
        <w:rPr>
          <w:rFonts w:hint="eastAsia"/>
        </w:rPr>
        <w:t>技术参数</w:t>
      </w:r>
      <w:bookmarkEnd w:id="8"/>
      <w:bookmarkEnd w:id="9"/>
      <w:bookmarkEnd w:id="10"/>
      <w:bookmarkEnd w:id="11"/>
      <w:bookmarkEnd w:id="12"/>
      <w:bookmarkEnd w:id="13"/>
    </w:p>
    <w:p>
      <w:r>
        <w:rPr>
          <w:rFonts w:hint="eastAsia"/>
        </w:rPr>
        <w:t>1.5M 旋转灯架承载为：200KG，禁止超载使用</w:t>
      </w:r>
    </w:p>
    <w:p>
      <w:r>
        <w:rPr>
          <w:rFonts w:hint="eastAsia"/>
        </w:rPr>
        <w:t>规格：内径1.45M，外径1.5M，圆周4.71M</w:t>
      </w:r>
    </w:p>
    <w:p>
      <w:r>
        <w:rPr>
          <w:rFonts w:hint="eastAsia"/>
        </w:rPr>
        <w:t>载重量：200KG</w:t>
      </w:r>
    </w:p>
    <w:p>
      <w:r>
        <w:rPr>
          <w:rFonts w:hint="eastAsia"/>
        </w:rPr>
        <w:t>灯具电源输入端：9个 Power Can 灯具电源输入输出端，标准悬挂9台灯具</w:t>
      </w:r>
    </w:p>
    <w:p>
      <w:r>
        <w:rPr>
          <w:rFonts w:hint="eastAsia"/>
        </w:rPr>
        <w:t>电机功率：180W</w:t>
      </w:r>
    </w:p>
    <w:p>
      <w:r>
        <w:rPr>
          <w:rFonts w:hint="eastAsia"/>
        </w:rPr>
        <w:t>电力要求：AC 220 ±20%</w:t>
      </w:r>
    </w:p>
    <w:p>
      <w:r>
        <w:rPr>
          <w:rFonts w:hint="eastAsia"/>
        </w:rPr>
        <w:t>设备电力：AC 220 ±20%</w:t>
      </w:r>
    </w:p>
    <w:p>
      <w:r>
        <w:rPr>
          <w:rFonts w:hint="eastAsia"/>
        </w:rPr>
        <w:t>控制模式：DMX512模式/无线控制</w:t>
      </w:r>
    </w:p>
    <w:p>
      <w:r>
        <w:rPr>
          <w:rFonts w:hint="eastAsia"/>
        </w:rPr>
        <w:t>DMX通道数：4通道</w:t>
      </w:r>
    </w:p>
    <w:p>
      <w:r>
        <w:rPr>
          <w:rFonts w:hint="eastAsia"/>
        </w:rPr>
        <w:t>转速：最快每转0.22秒或每分钟转速13转</w:t>
      </w:r>
    </w:p>
    <w:p>
      <w:r>
        <w:rPr>
          <w:rFonts w:hint="eastAsia"/>
        </w:rPr>
        <w:t>灯钩适用管径：40-52mm，承重200KG</w:t>
      </w:r>
      <w:bookmarkStart w:id="14" w:name="_Toc13018"/>
      <w:bookmarkStart w:id="15" w:name="_Toc384126013"/>
      <w:bookmarkStart w:id="16" w:name="_Toc384126059"/>
      <w:bookmarkStart w:id="17" w:name="_Toc13176"/>
      <w:bookmarkStart w:id="18" w:name="_Toc384126038"/>
    </w:p>
    <w:p>
      <w:pPr>
        <w:pStyle w:val="2"/>
        <w:numPr>
          <w:ilvl w:val="0"/>
          <w:numId w:val="1"/>
        </w:numPr>
        <w:spacing w:before="340" w:after="330"/>
      </w:pPr>
      <w:bookmarkStart w:id="19" w:name="_Toc476556931"/>
      <w:r>
        <w:rPr>
          <w:rFonts w:hint="eastAsia"/>
        </w:rPr>
        <w:t>安装方法</w:t>
      </w:r>
      <w:bookmarkEnd w:id="14"/>
      <w:bookmarkEnd w:id="15"/>
      <w:bookmarkEnd w:id="16"/>
      <w:bookmarkEnd w:id="17"/>
      <w:bookmarkEnd w:id="18"/>
      <w:bookmarkEnd w:id="19"/>
      <w:bookmarkStart w:id="20" w:name="_Toc384126039"/>
      <w:bookmarkStart w:id="21" w:name="_Toc20172"/>
      <w:bookmarkStart w:id="22" w:name="_Toc2642"/>
      <w:bookmarkStart w:id="23" w:name="_Toc384126014"/>
      <w:bookmarkStart w:id="24" w:name="_Toc384126060"/>
    </w:p>
    <w:p>
      <w:pPr>
        <w:pStyle w:val="3"/>
        <w:numPr>
          <w:ilvl w:val="1"/>
          <w:numId w:val="1"/>
        </w:numPr>
      </w:pPr>
      <w:bookmarkStart w:id="25" w:name="_Toc476556932"/>
      <w:r>
        <w:t>安装步骤</w:t>
      </w:r>
      <w:bookmarkEnd w:id="20"/>
      <w:bookmarkEnd w:id="21"/>
      <w:bookmarkEnd w:id="22"/>
      <w:bookmarkEnd w:id="23"/>
      <w:bookmarkEnd w:id="24"/>
      <w:bookmarkEnd w:id="25"/>
    </w:p>
    <w:p>
      <w:pPr>
        <w:rPr>
          <w:b/>
        </w:rPr>
      </w:pPr>
      <w:r>
        <w:rPr>
          <w:rFonts w:hint="eastAsia"/>
          <w:b/>
        </w:rPr>
        <w:t>安挂旋转灯架</w:t>
      </w:r>
    </w:p>
    <w:p>
      <w:r>
        <w:rPr>
          <w:rFonts w:hint="eastAsia"/>
        </w:rPr>
        <w:t xml:space="preserve"> 将灯钩（适用管径40-52mm ）安装在桁架管上。</w:t>
      </w:r>
    </w:p>
    <w:p>
      <w:pPr>
        <w:jc w:val="center"/>
      </w:pPr>
      <w:r>
        <w:drawing>
          <wp:inline distT="0" distB="0" distL="0" distR="0">
            <wp:extent cx="1779270" cy="12026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24940" cy="71691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98065" cy="116967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安装示意图</w:t>
      </w:r>
    </w:p>
    <w:p>
      <w:pPr>
        <w:rPr>
          <w:b/>
        </w:rPr>
      </w:pPr>
      <w:r>
        <w:rPr>
          <w:rFonts w:hint="eastAsia"/>
          <w:b/>
        </w:rPr>
        <w:t>灯架电源输入</w:t>
      </w:r>
    </w:p>
    <w:p>
      <w:pPr>
        <w:ind w:firstLine="330" w:firstLineChars="150"/>
      </w:pPr>
      <w:r>
        <w:rPr>
          <w:rFonts w:hint="eastAsia"/>
          <w:szCs w:val="21"/>
        </w:rPr>
        <w:t>电压单向输入：</w:t>
      </w:r>
      <w:r>
        <w:rPr>
          <w:rFonts w:hint="eastAsia"/>
        </w:rPr>
        <w:t>AC 220 ±20%</w:t>
      </w:r>
    </w:p>
    <w:p>
      <w:pPr>
        <w:ind w:firstLine="330" w:firstLineChars="150"/>
        <w:jc w:val="center"/>
      </w:pPr>
      <w:r>
        <w:drawing>
          <wp:inline distT="0" distB="0" distL="0" distR="0">
            <wp:extent cx="1762760" cy="1762760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30" w:firstLineChars="150"/>
        <w:jc w:val="center"/>
      </w:pPr>
      <w:r>
        <w:rPr>
          <w:rFonts w:hint="eastAsia"/>
        </w:rPr>
        <w:t>电源输入接头</w:t>
      </w:r>
    </w:p>
    <w:p>
      <w:pPr>
        <w:rPr>
          <w:szCs w:val="21"/>
        </w:rPr>
      </w:pPr>
      <w:r>
        <w:rPr>
          <w:rFonts w:hint="eastAsia"/>
          <w:szCs w:val="21"/>
        </w:rPr>
        <w:t>电源输入完成后变频器（INVERTER）显示F 00.0</w:t>
      </w:r>
    </w:p>
    <w:p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变频器参数已设置好，请勿乱按变频器上各功能按键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1696720" cy="16967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4940" cy="716915"/>
            <wp:effectExtent l="0" t="0" r="381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80210" cy="165608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320" w:firstLineChars="600"/>
        <w:rPr>
          <w:szCs w:val="21"/>
        </w:rPr>
      </w:pPr>
      <w:r>
        <w:rPr>
          <w:rFonts w:hint="eastAsia"/>
          <w:szCs w:val="21"/>
        </w:rPr>
        <w:t>变频器（INVERTER）未通电前                             通电后</w:t>
      </w:r>
    </w:p>
    <w:p>
      <w:pPr>
        <w:ind w:firstLine="1320" w:firstLineChars="600"/>
        <w:rPr>
          <w:szCs w:val="21"/>
        </w:rPr>
      </w:pPr>
      <w:r>
        <w:rPr>
          <w:rFonts w:hint="eastAsia"/>
          <w:szCs w:val="21"/>
        </w:rPr>
        <w:t>备注：接电后变频器显示板不亮，表示接电不成功，检查输入电源线路是否接好或接头松动。</w:t>
      </w:r>
    </w:p>
    <w:p>
      <w:pPr>
        <w:rPr>
          <w:b/>
        </w:rPr>
      </w:pPr>
      <w:r>
        <w:rPr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paragraph">
                  <wp:posOffset>346710</wp:posOffset>
                </wp:positionV>
                <wp:extent cx="2476500" cy="1139825"/>
                <wp:effectExtent l="8255" t="13335" r="10795" b="8890"/>
                <wp:wrapNone/>
                <wp:docPr id="1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变频器“S”端表示电源输入端，“M”端表示电压输出端。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接线不能弄错，否则导致变频器损坏。</w:t>
                            </w:r>
                            <w:r>
                              <w:rPr>
                                <w:rFonts w:hint="eastAsia"/>
                                <w:b/>
                                <w:color w:val="000000"/>
                                <w:szCs w:val="21"/>
                              </w:rPr>
                              <w:t>（出厂前线已接好）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216.65pt;margin-top:27.3pt;height:89.75pt;width:195pt;z-index:251657216;mso-width-relative:page;mso-height-relative:page;" fillcolor="#FFFFFF" filled="t" stroked="t" coordsize="21600,21600" o:gfxdata="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iYPEdkAAAAKAQAADwAA&#10;AAAAAAABACAAAAAiAAAAZHJzL2Rvd25yZXYueG1sUEsBAhQAFAAAAAgAh07iQEQToZEVAgAAOwQA&#10;AA4AAAAAAAAAAQAgAAAAKAEAAGRycy9lMm9Eb2MueG1sUEsFBgAAAAAGAAYAWQEAAK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000000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变频器“S”端表示电源输入端，“M”端表示电压输出端。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接线不能弄错，否则导致变频器损坏。</w:t>
                      </w:r>
                      <w:r>
                        <w:rPr>
                          <w:rFonts w:hint="eastAsia"/>
                          <w:b/>
                          <w:color w:val="000000"/>
                          <w:szCs w:val="21"/>
                        </w:rPr>
                        <w:t>（出厂前线已接好）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</w:rPr>
        <w:t>变频器电源输入端</w:t>
      </w:r>
    </w:p>
    <w:p>
      <w:pPr>
        <w:ind w:firstLine="1760" w:firstLineChars="800"/>
        <w:rPr>
          <w:szCs w:val="21"/>
        </w:rPr>
      </w:pPr>
      <w:r>
        <w:rPr>
          <w:szCs w:val="21"/>
        </w:rPr>
        <w:drawing>
          <wp:inline distT="0" distB="0" distL="0" distR="0">
            <wp:extent cx="1565275" cy="11779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r>
        <w:rPr>
          <w:rFonts w:hint="eastAsia"/>
        </w:rPr>
        <w:t xml:space="preserve"> </w:t>
      </w:r>
      <w:bookmarkStart w:id="26" w:name="_Toc476556933"/>
      <w:r>
        <w:rPr>
          <w:rFonts w:hint="eastAsia"/>
        </w:rPr>
        <w:t>控制盒</w:t>
      </w:r>
      <w:bookmarkEnd w:id="26"/>
    </w:p>
    <w:p>
      <w:pPr>
        <w:ind w:firstLine="331" w:firstLineChars="150"/>
        <w:rPr>
          <w:b/>
          <w:szCs w:val="21"/>
        </w:rPr>
      </w:pPr>
      <w:r>
        <w:rPr>
          <w:rFonts w:hint="eastAsia"/>
          <w:b/>
          <w:szCs w:val="21"/>
        </w:rPr>
        <w:t>控制盒面板</w:t>
      </w:r>
    </w:p>
    <w:p>
      <w:pPr>
        <w:ind w:firstLine="330" w:firstLineChars="150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4267200" cy="14744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1"/>
        <w:tblW w:w="767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7"/>
        <w:gridCol w:w="2557"/>
        <w:gridCol w:w="25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5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ADDr</w:t>
            </w:r>
          </w:p>
        </w:tc>
        <w:tc>
          <w:tcPr>
            <w:tcW w:w="255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d001-d254</w:t>
            </w:r>
          </w:p>
        </w:tc>
        <w:tc>
          <w:tcPr>
            <w:tcW w:w="255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DMX地址设置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5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PASS</w:t>
            </w:r>
          </w:p>
        </w:tc>
        <w:tc>
          <w:tcPr>
            <w:tcW w:w="255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P000-P255</w:t>
            </w:r>
          </w:p>
        </w:tc>
        <w:tc>
          <w:tcPr>
            <w:tcW w:w="255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0-255密码设置（取0-255值）出厂默认密码值10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57" w:type="dxa"/>
            <w:vMerge w:val="restart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ModeE</w:t>
            </w:r>
          </w:p>
        </w:tc>
        <w:tc>
          <w:tcPr>
            <w:tcW w:w="255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n0.00</w:t>
            </w:r>
          </w:p>
        </w:tc>
        <w:tc>
          <w:tcPr>
            <w:tcW w:w="255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控台控制模式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57" w:type="dxa"/>
            <w:vMerge w:val="continue"/>
          </w:tcPr>
          <w:p>
            <w:pPr>
              <w:rPr>
                <w:szCs w:val="21"/>
              </w:rPr>
            </w:pPr>
          </w:p>
        </w:tc>
        <w:tc>
          <w:tcPr>
            <w:tcW w:w="255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n0.01</w:t>
            </w:r>
          </w:p>
        </w:tc>
        <w:tc>
          <w:tcPr>
            <w:tcW w:w="255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无线控制模式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57" w:type="dxa"/>
            <w:vMerge w:val="continue"/>
          </w:tcPr>
          <w:p>
            <w:pPr>
              <w:rPr>
                <w:szCs w:val="21"/>
              </w:rPr>
            </w:pPr>
          </w:p>
        </w:tc>
        <w:tc>
          <w:tcPr>
            <w:tcW w:w="2557" w:type="dxa"/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N</w:t>
            </w:r>
            <w:r>
              <w:rPr>
                <w:rFonts w:hint="eastAsia"/>
                <w:szCs w:val="21"/>
              </w:rPr>
              <w:t>0.02</w:t>
            </w:r>
          </w:p>
        </w:tc>
        <w:tc>
          <w:tcPr>
            <w:tcW w:w="255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保留（无功能）</w:t>
            </w:r>
          </w:p>
        </w:tc>
      </w:tr>
    </w:tbl>
    <w:p>
      <w:pPr>
        <w:ind w:firstLine="331" w:firstLineChars="150"/>
        <w:rPr>
          <w:b/>
          <w:szCs w:val="21"/>
        </w:rPr>
      </w:pPr>
      <w:r>
        <w:rPr>
          <w:b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239395</wp:posOffset>
                </wp:positionV>
                <wp:extent cx="4210685" cy="1316990"/>
                <wp:effectExtent l="6985" t="10795" r="11430" b="5715"/>
                <wp:wrapNone/>
                <wp:docPr id="18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68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zh-CN"/>
                              </w:rPr>
                            </w:pPr>
                            <w:r>
                              <w:rPr>
                                <w:rFonts w:hint="eastAsia"/>
                                <w:lang w:val="zh-CN"/>
                              </w:rPr>
                              <w:t>控制盒上有两个DMX信号接口，最左边是DMX信号输入端口，右边是DMX输出端口。</w:t>
                            </w:r>
                          </w:p>
                          <w:p>
                            <w:pPr>
                              <w:ind w:firstLine="42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lang w:val="zh-CN"/>
                              </w:rPr>
                              <w:t>信号输入端连接控台，信号输出端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级联灯具，将灯具的DMX OUT端口接到下一台DMX IN 端口。 如下图所示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6" o:spt="202" type="#_x0000_t202" style="position:absolute;left:0pt;margin-left:129.55pt;margin-top:18.85pt;height:103.7pt;width:331.55pt;z-index:251658240;mso-width-relative:page;mso-height-relative:page;" fillcolor="#FFFFFF" filled="t" stroked="t" coordsize="21600,21600" o:gfxdata="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OZkmytoAAAAKAQAA&#10;DwAAAAAAAAABACAAAAAiAAAAZHJzL2Rvd25yZXYueG1sUEsBAhQAFAAAAAgAh07iQIqmOl4XAgAA&#10;OwQAAA4AAAAAAAAAAQAgAAAAKQEAAGRycy9lMm9Eb2MueG1sUEsFBgAAAAAGAAYAWQEAALIFAAAA&#10;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lang w:val="zh-CN"/>
                        </w:rPr>
                      </w:pPr>
                      <w:r>
                        <w:rPr>
                          <w:rFonts w:hint="eastAsia"/>
                          <w:lang w:val="zh-CN"/>
                        </w:rPr>
                        <w:t>控制盒上有两个DMX信号接口，最左边是DMX信号输入端口，右边是DMX输出端口。</w:t>
                      </w:r>
                    </w:p>
                    <w:p>
                      <w:pPr>
                        <w:ind w:firstLine="420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lang w:val="zh-CN"/>
                        </w:rPr>
                        <w:t>信号输入端连接控台，信号输出端</w:t>
                      </w:r>
                      <w:r>
                        <w:rPr>
                          <w:rFonts w:hint="eastAsia"/>
                          <w:szCs w:val="21"/>
                        </w:rPr>
                        <w:t>级联灯具，将灯具的DMX OUT端口接到下一台DMX IN 端口。 如下图所示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Cs w:val="21"/>
        </w:rPr>
        <w:t>控制盒信号连接：</w:t>
      </w:r>
    </w:p>
    <w:p>
      <w:pPr>
        <w:ind w:firstLine="331" w:firstLineChars="150"/>
        <w:jc w:val="both"/>
        <w:rPr>
          <w:b/>
          <w:szCs w:val="21"/>
        </w:rPr>
      </w:pPr>
      <w:r>
        <w:rPr>
          <w:b/>
          <w:szCs w:val="21"/>
        </w:rPr>
        <w:drawing>
          <wp:inline distT="0" distB="0" distL="0" distR="0">
            <wp:extent cx="1128395" cy="115316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31" w:firstLineChars="150"/>
        <w:rPr>
          <w:b/>
          <w:szCs w:val="21"/>
        </w:rPr>
      </w:pPr>
      <w:r>
        <w:rPr>
          <w:b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198120</wp:posOffset>
            </wp:positionV>
            <wp:extent cx="5772150" cy="1085850"/>
            <wp:effectExtent l="0" t="0" r="0" b="0"/>
            <wp:wrapTight wrapText="bothSides">
              <wp:wrapPolygon>
                <wp:start x="0" y="0"/>
                <wp:lineTo x="0" y="21221"/>
                <wp:lineTo x="21529" y="21221"/>
                <wp:lineTo x="21529" y="0"/>
                <wp:lineTo x="0" y="0"/>
              </wp:wrapPolygon>
            </wp:wrapTight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firstLine="331" w:firstLineChars="150"/>
        <w:rPr>
          <w:b/>
          <w:szCs w:val="21"/>
        </w:rPr>
      </w:pPr>
    </w:p>
    <w:p>
      <w:pPr>
        <w:pStyle w:val="3"/>
        <w:numPr>
          <w:ilvl w:val="1"/>
          <w:numId w:val="1"/>
        </w:numPr>
      </w:pPr>
      <w:bookmarkStart w:id="27" w:name="_Toc476556934"/>
      <w:r>
        <w:rPr>
          <w:rFonts w:hint="eastAsia"/>
        </w:rPr>
        <w:t>DMX通道</w:t>
      </w:r>
      <w:bookmarkEnd w:id="27"/>
    </w:p>
    <w:tbl>
      <w:tblPr>
        <w:tblStyle w:val="31"/>
        <w:tblW w:w="102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410"/>
        <w:gridCol w:w="58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通道</w:t>
            </w: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通道值</w:t>
            </w:r>
          </w:p>
        </w:tc>
        <w:tc>
          <w:tcPr>
            <w:tcW w:w="586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951" w:type="dxa"/>
            <w:vMerge w:val="restart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CH1</w:t>
            </w: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0-63</w:t>
            </w:r>
          </w:p>
        </w:tc>
        <w:tc>
          <w:tcPr>
            <w:tcW w:w="586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停止（控制盒亮红灯）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Merge w:val="continue"/>
          </w:tcPr>
          <w:p>
            <w:pPr>
              <w:rPr>
                <w:szCs w:val="21"/>
              </w:rPr>
            </w:pP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64-128</w:t>
            </w:r>
          </w:p>
        </w:tc>
        <w:tc>
          <w:tcPr>
            <w:tcW w:w="586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顺时针旋转（控制盒亮绿灯）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Merge w:val="continue"/>
          </w:tcPr>
          <w:p>
            <w:pPr>
              <w:rPr>
                <w:szCs w:val="21"/>
              </w:rPr>
            </w:pP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129-192</w:t>
            </w:r>
          </w:p>
        </w:tc>
        <w:tc>
          <w:tcPr>
            <w:tcW w:w="586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停止（控制盒亮红灯）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Merge w:val="continue"/>
          </w:tcPr>
          <w:p>
            <w:pPr>
              <w:rPr>
                <w:szCs w:val="21"/>
              </w:rPr>
            </w:pP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193-255</w:t>
            </w:r>
          </w:p>
        </w:tc>
        <w:tc>
          <w:tcPr>
            <w:tcW w:w="586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逆时针旋转（控制盒亮蓝灯）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CH2</w:t>
            </w: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0-255</w:t>
            </w:r>
          </w:p>
        </w:tc>
        <w:tc>
          <w:tcPr>
            <w:tcW w:w="586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保留（无功能）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CH3</w:t>
            </w: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0-255</w:t>
            </w:r>
          </w:p>
        </w:tc>
        <w:tc>
          <w:tcPr>
            <w:tcW w:w="586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旋转速度调节（值越大旋转速度越快）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CH4</w:t>
            </w:r>
          </w:p>
        </w:tc>
        <w:tc>
          <w:tcPr>
            <w:tcW w:w="241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0-255</w:t>
            </w:r>
          </w:p>
        </w:tc>
        <w:tc>
          <w:tcPr>
            <w:tcW w:w="5867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密码值（密码值与控制面板设定密码值±不得超过2个单位，否则控台控制失效。出厂默认密码值10）</w:t>
            </w:r>
          </w:p>
        </w:tc>
      </w:tr>
    </w:tbl>
    <w:p>
      <w:pPr>
        <w:ind w:firstLine="330" w:firstLineChars="150"/>
        <w:rPr>
          <w:szCs w:val="21"/>
        </w:rPr>
      </w:pPr>
    </w:p>
    <w:p>
      <w:pPr>
        <w:pStyle w:val="3"/>
        <w:numPr>
          <w:ilvl w:val="1"/>
          <w:numId w:val="1"/>
        </w:numPr>
      </w:pPr>
      <w:bookmarkStart w:id="28" w:name="_Toc384126061"/>
      <w:bookmarkStart w:id="29" w:name="_Toc476556935"/>
      <w:bookmarkStart w:id="30" w:name="_Toc29654"/>
      <w:bookmarkStart w:id="31" w:name="_Toc384126040"/>
      <w:bookmarkStart w:id="32" w:name="_Toc384126015"/>
      <w:bookmarkStart w:id="33" w:name="_Toc6950"/>
      <w:r>
        <w:t>灯具连接</w:t>
      </w:r>
      <w:bookmarkEnd w:id="28"/>
      <w:bookmarkEnd w:id="29"/>
      <w:bookmarkEnd w:id="30"/>
      <w:bookmarkEnd w:id="31"/>
      <w:bookmarkEnd w:id="32"/>
      <w:bookmarkEnd w:id="33"/>
    </w:p>
    <w:p>
      <w:r>
        <w:rPr>
          <w:rFonts w:hint="eastAsia"/>
        </w:rPr>
        <w:t>确定灯架能正常工作后则可以往灯架上挂灯</w:t>
      </w:r>
    </w:p>
    <w:p>
      <w:pPr>
        <w:rPr>
          <w:b/>
        </w:rPr>
      </w:pPr>
      <w:r>
        <w:rPr>
          <w:rFonts w:hint="eastAsia"/>
          <w:b/>
        </w:rPr>
        <w:t>1.2M旋转灯架最大载重200KG，标准挂6台灯具</w:t>
      </w:r>
    </w:p>
    <w:p>
      <w:pPr>
        <w:pStyle w:val="49"/>
        <w:numPr>
          <w:ilvl w:val="0"/>
          <w:numId w:val="2"/>
        </w:numPr>
        <w:tabs>
          <w:tab w:val="clear" w:pos="420"/>
        </w:tabs>
        <w:ind w:left="840"/>
        <w:rPr>
          <w:rFonts w:ascii="Microsoft Sans Serif" w:hAnsi="Microsoft Sans Serif" w:cs="Microsoft Sans Serif"/>
        </w:rPr>
      </w:pPr>
      <w:r>
        <w:rPr>
          <w:rFonts w:hint="eastAsia" w:ascii="Microsoft Sans Serif" w:hAnsi="Microsoft Sans Serif" w:cs="Microsoft Sans Serif"/>
        </w:rPr>
        <w:t>当灯具进行安装，拆卸、移动或维修时，请勿站在灯具下方</w:t>
      </w:r>
    </w:p>
    <w:p>
      <w:pPr>
        <w:pStyle w:val="49"/>
        <w:numPr>
          <w:ilvl w:val="0"/>
          <w:numId w:val="2"/>
        </w:numPr>
        <w:tabs>
          <w:tab w:val="clear" w:pos="420"/>
        </w:tabs>
        <w:ind w:left="840"/>
        <w:rPr>
          <w:rFonts w:ascii="Microsoft Sans Serif" w:hAnsi="Microsoft Sans Serif" w:cs="Microsoft Sans Serif"/>
        </w:rPr>
      </w:pPr>
      <w:r>
        <w:rPr>
          <w:rFonts w:hint="eastAsia" w:ascii="Microsoft Sans Serif" w:hAnsi="Microsoft Sans Serif" w:cs="Microsoft Sans Serif"/>
        </w:rPr>
        <w:t>请让专业人员对灯具电气参数进行核准后再进行安装，操作员必需保证灯具安全连接。</w:t>
      </w:r>
    </w:p>
    <w:p>
      <w:pPr>
        <w:pStyle w:val="49"/>
        <w:numPr>
          <w:ilvl w:val="0"/>
          <w:numId w:val="2"/>
        </w:numPr>
        <w:tabs>
          <w:tab w:val="clear" w:pos="420"/>
        </w:tabs>
        <w:ind w:left="840"/>
        <w:rPr>
          <w:rFonts w:ascii="Microsoft Sans Serif" w:hAnsi="Microsoft Sans Serif" w:cs="Microsoft Sans Serif"/>
        </w:rPr>
      </w:pPr>
      <w:r>
        <w:rPr>
          <w:rFonts w:hint="eastAsia" w:ascii="Microsoft Sans Serif" w:hAnsi="Microsoft Sans Serif" w:cs="Microsoft Sans Serif"/>
        </w:rPr>
        <w:t>专业人员请定期对旋转灯架和相关灯具做安全检查。</w:t>
      </w:r>
    </w:p>
    <w:p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警告！必须由专业人员进行电气连接。</w:t>
      </w:r>
    </w:p>
    <w:p>
      <w:pPr>
        <w:pStyle w:val="58"/>
      </w:pPr>
      <w:r>
        <w:rPr>
          <w:rFonts w:hint="eastAsia"/>
        </w:rPr>
        <w:t>把快锁把手装在灯具底座固定板上，将快锁扣分别插入到固定板的两个孔眼中，顺时针拧紧快锁扣。用同样的方法安装灯具上另一个快锁，最后将两个安装好的灯钩夹紧在固定支架上即可。</w:t>
      </w:r>
    </w:p>
    <w:p>
      <w:r>
        <w:rPr>
          <w:rFonts w:hint="eastAsia"/>
        </w:rPr>
        <w:t>请把灯具挂在合适的位置并调整好角度（如果灯具工作在户外环境，请做好防水措施）。</w:t>
      </w:r>
    </w:p>
    <w:p>
      <w:r>
        <w:rPr>
          <w:rFonts w:hint="eastAsia"/>
        </w:rPr>
        <w:t>连接信号线，一端连接在灯具的DMX IN 端，另一端连接在DMX 的DMX OUT 端（信号输入1=&gt;接地2=&gt;信号端-，3=&gt;信号端+）连接电源线。（如下图所示）</w:t>
      </w:r>
    </w:p>
    <w:p>
      <w:pPr>
        <w:jc w:val="center"/>
      </w:pPr>
      <w:r>
        <w:drawing>
          <wp:inline distT="0" distB="0" distL="0" distR="0">
            <wp:extent cx="5527675" cy="254571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灯具电源接入：</w:t>
      </w: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33655</wp:posOffset>
                </wp:positionV>
                <wp:extent cx="4019550" cy="1457960"/>
                <wp:effectExtent l="8890" t="5080" r="10160" b="13335"/>
                <wp:wrapNone/>
                <wp:docPr id="17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45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将灯具上的Power Can 插头插入灯架上自带的6个power can插口中。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26" o:spt="202" type="#_x0000_t202" style="position:absolute;left:0pt;margin-left:138.7pt;margin-top:2.65pt;height:114.8pt;width:316.5pt;z-index:251658240;mso-width-relative:page;mso-height-relative:page;" fillcolor="#FFFFFF" filled="t" stroked="t" coordsize="21600,21600" o:gfxdata="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bA0fPYAAAACQEAAA8A&#10;AAAAAAAAAQAgAAAAIgAAAGRycy9kb3ducmV2LnhtbFBLAQIUABQAAAAIAIdO4kALeFi9FwIAADsE&#10;AAAOAAAAAAAAAAEAIAAAACcBAABkcnMvZTJvRG9jLnhtbFBLBQYAAAAABgAGAFkBAACw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将灯具上的Power Can 插头插入灯架上自带的6个power can插口中。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598295" cy="1441450"/>
            <wp:effectExtent l="0" t="0" r="190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340" w:after="330"/>
      </w:pPr>
      <w:bookmarkStart w:id="34" w:name="_Toc476556936"/>
      <w:bookmarkStart w:id="35" w:name="_Toc6447"/>
      <w:bookmarkStart w:id="36" w:name="_Toc384126028"/>
      <w:bookmarkStart w:id="37" w:name="_Toc384126074"/>
      <w:bookmarkStart w:id="38" w:name="_Toc384126053"/>
      <w:r>
        <w:rPr>
          <w:rFonts w:hint="eastAsia"/>
        </w:rPr>
        <w:t>修订记录</w:t>
      </w:r>
      <w:bookmarkEnd w:id="34"/>
      <w:bookmarkEnd w:id="35"/>
      <w:bookmarkEnd w:id="36"/>
      <w:bookmarkEnd w:id="37"/>
      <w:bookmarkEnd w:id="38"/>
    </w:p>
    <w:p>
      <w:pPr>
        <w:pStyle w:val="13"/>
        <w:spacing w:before="40" w:line="288" w:lineRule="exact"/>
        <w:rPr>
          <w:rFonts w:hint="default"/>
          <w:szCs w:val="24"/>
        </w:rPr>
      </w:pPr>
      <w:r>
        <w:rPr>
          <w:sz w:val="28"/>
          <w:szCs w:val="28"/>
        </w:rPr>
        <w:t xml:space="preserve">  </w:t>
      </w:r>
      <w:r>
        <w:rPr>
          <w:szCs w:val="24"/>
        </w:rPr>
        <w:t xml:space="preserve">  2017-03-04创建 版本V1.0</w:t>
      </w:r>
    </w:p>
    <w:p>
      <w:pPr>
        <w:pStyle w:val="2"/>
        <w:numPr>
          <w:ilvl w:val="0"/>
          <w:numId w:val="1"/>
        </w:numPr>
        <w:spacing w:before="340" w:after="330"/>
      </w:pPr>
      <w:bookmarkStart w:id="39" w:name="_Toc384126027"/>
      <w:bookmarkStart w:id="40" w:name="_Toc384126052"/>
      <w:bookmarkStart w:id="41" w:name="_Toc384126073"/>
      <w:bookmarkStart w:id="42" w:name="_Toc27229"/>
      <w:bookmarkStart w:id="43" w:name="_Toc476556937"/>
      <w:r>
        <w:rPr>
          <w:rFonts w:hint="eastAsia"/>
        </w:rPr>
        <w:t>重要声明</w:t>
      </w:r>
      <w:bookmarkEnd w:id="39"/>
      <w:bookmarkEnd w:id="40"/>
      <w:bookmarkEnd w:id="41"/>
      <w:bookmarkEnd w:id="42"/>
      <w:bookmarkEnd w:id="43"/>
    </w:p>
    <w:p>
      <w:pPr>
        <w:pStyle w:val="13"/>
        <w:spacing w:before="40" w:line="288" w:lineRule="exact"/>
        <w:rPr>
          <w:rFonts w:hint="default"/>
          <w:szCs w:val="24"/>
        </w:rPr>
      </w:pPr>
      <w:r>
        <w:rPr>
          <w:szCs w:val="24"/>
        </w:rPr>
        <w:t xml:space="preserve">   本手册的内容如有更改，恕不另行通知，如有疑问，请咨询本公司服务热线。 </w:t>
      </w:r>
    </w:p>
    <w:p>
      <w:pPr>
        <w:pStyle w:val="13"/>
        <w:spacing w:before="40" w:line="288" w:lineRule="exact"/>
        <w:ind w:left="0" w:firstLine="480" w:firstLineChars="200"/>
        <w:rPr>
          <w:rFonts w:hint="default" w:eastAsia="Times New Roman"/>
          <w:szCs w:val="24"/>
        </w:rPr>
      </w:pPr>
      <w:r>
        <w:rPr>
          <w:szCs w:val="24"/>
        </w:rPr>
        <w:t>该手册版权由广州格靓光电有限公司所有。手册数据，图片，未经授权不得复制，印刷和分发。</w:t>
      </w:r>
    </w:p>
    <w:sectPr>
      <w:pgSz w:w="11911" w:h="16838"/>
      <w:pgMar w:top="782" w:right="901" w:bottom="1140" w:left="998" w:header="590" w:footer="95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icrosoft Sans Serif">
    <w:panose1 w:val="020B0604020202020204"/>
    <w:charset w:val="00"/>
    <w:family w:val="swiss"/>
    <w:pitch w:val="default"/>
    <w:sig w:usb0="E1002AFF" w:usb1="C0000002" w:usb2="00000008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4"/>
      <w:spacing w:line="200" w:lineRule="atLeast"/>
    </w:pPr>
    <w:r>
      <w:rPr>
        <w:rFonts w:hint="eastAsia" w:ascii="宋体" w:hAnsi="宋体" w:cs="宋体"/>
        <w:bCs/>
        <w:sz w:val="21"/>
        <w:szCs w:val="21"/>
      </w:rPr>
      <w:t xml:space="preserve">旋转舞台灯架  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 xml:space="preserve">                            </w:t>
    </w:r>
    <w:r>
      <w:fldChar w:fldCharType="begin"/>
    </w:r>
    <w:r>
      <w:instrText xml:space="preserve">PAGE   \* MERGEFORMAT</w:instrText>
    </w:r>
    <w:r>
      <w:fldChar w:fldCharType="separate"/>
    </w:r>
    <w:r>
      <w:t>7</w:t>
    </w:r>
    <w:r>
      <w:fldChar w:fldCharType="end"/>
    </w:r>
  </w:p>
  <w:p>
    <w:pPr>
      <w:spacing w:line="14" w:lineRule="auto"/>
      <w:rPr>
        <w:rFonts w:eastAsia="Times New Roman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  <w:rPr>
        <w:rFonts w:ascii="Cambria" w:hAnsi="Cambria"/>
        <w:sz w:val="28"/>
        <w:szCs w:val="28"/>
      </w:rPr>
    </w:pPr>
    <w:r>
      <w:rPr>
        <w:rFonts w:ascii="Cambria" w:hAnsi="Cambria"/>
        <w:sz w:val="28"/>
        <w:szCs w:val="28"/>
        <w:lang w:val="zh-CN"/>
      </w:rPr>
      <w:t xml:space="preserve">~ </w:t>
    </w:r>
    <w:r>
      <w:rPr>
        <w:sz w:val="22"/>
        <w:szCs w:val="21"/>
      </w:rPr>
      <w:fldChar w:fldCharType="begin"/>
    </w:r>
    <w:r>
      <w:instrText xml:space="preserve">PAGE    \* MERGEFORMAT</w:instrText>
    </w:r>
    <w:r>
      <w:rPr>
        <w:sz w:val="22"/>
        <w:szCs w:val="21"/>
      </w:rPr>
      <w:fldChar w:fldCharType="separate"/>
    </w:r>
    <w:r>
      <w:t>10</w:t>
    </w:r>
    <w:r>
      <w:rPr>
        <w:rFonts w:ascii="Cambria" w:hAnsi="Cambria"/>
        <w:sz w:val="28"/>
        <w:szCs w:val="28"/>
      </w:rPr>
      <w:fldChar w:fldCharType="end"/>
    </w:r>
    <w:r>
      <w:rPr>
        <w:rFonts w:ascii="Cambria" w:hAnsi="Cambria"/>
        <w:sz w:val="28"/>
        <w:szCs w:val="28"/>
        <w:lang w:val="zh-CN"/>
      </w:rPr>
      <w:t xml:space="preserve"> ~</w:t>
    </w:r>
  </w:p>
  <w:p>
    <w:pPr>
      <w:spacing w:line="14" w:lineRule="auto"/>
      <w:rPr>
        <w:rFonts w:eastAsia="Times New Roman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4</w:t>
    </w:r>
    <w:r>
      <w:rPr>
        <w:lang w:val="zh-CN"/>
      </w:rPr>
      <w:fldChar w:fldCharType="end"/>
    </w:r>
  </w:p>
  <w:p>
    <w:pPr>
      <w:pStyle w:val="1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0"/>
      <w:rPr>
        <w:rFonts w:hint="default" w:eastAsia="Calibri"/>
      </w:rPr>
    </w:pPr>
    <w:r>
      <w:rPr>
        <w:rFonts w:ascii="隶书" w:eastAsia="隶书"/>
      </w:rPr>
      <w:t>广州格靓光电科技有限公司</w:t>
    </w:r>
  </w:p>
  <w:p>
    <w:pPr>
      <w:snapToGrid w:val="0"/>
      <w:spacing w:line="240" w:lineRule="atLeast"/>
      <w:rPr>
        <w:rFonts w:eastAsia="Calibri"/>
        <w:color w:val="FF0000"/>
        <w:sz w:val="18"/>
      </w:rPr>
    </w:pPr>
    <w:r>
      <w:rPr>
        <w:rFonts w:hint="eastAsia" w:ascii="宋体" w:hAnsi="宋体"/>
        <w:color w:val="FF0000"/>
        <w:spacing w:val="5"/>
        <w:sz w:val="18"/>
      </w:rPr>
      <w:t xml:space="preserve">      电话/传真：020-</w:t>
    </w:r>
    <w:r>
      <w:rPr>
        <w:rFonts w:ascii="宋体" w:hAnsi="宋体"/>
        <w:color w:val="FF0000"/>
        <w:spacing w:val="5"/>
        <w:sz w:val="18"/>
      </w:rPr>
      <w:t>62903194</w:t>
    </w:r>
    <w:r>
      <w:rPr>
        <w:rFonts w:hint="eastAsia" w:ascii="宋体" w:hAnsi="宋体"/>
        <w:color w:val="FF0000"/>
        <w:spacing w:val="5"/>
        <w:sz w:val="18"/>
      </w:rPr>
      <w:t>网址：</w:t>
    </w:r>
    <w:r>
      <w:fldChar w:fldCharType="begin"/>
    </w:r>
    <w:r>
      <w:instrText xml:space="preserve"> HYPERLINK "http://www.geliang.org/" </w:instrText>
    </w:r>
    <w:r>
      <w:fldChar w:fldCharType="separate"/>
    </w:r>
    <w:r>
      <w:rPr>
        <w:color w:val="0000FF"/>
        <w:sz w:val="18"/>
        <w:u w:val="single"/>
      </w:rPr>
      <w:t>http://www.geliang</w:t>
    </w:r>
    <w:r>
      <w:rPr>
        <w:rFonts w:eastAsia="Calibri"/>
        <w:color w:val="FF0000"/>
        <w:spacing w:val="5"/>
        <w:sz w:val="18"/>
      </w:rPr>
      <w:t>.</w:t>
    </w:r>
    <w:r>
      <w:rPr>
        <w:color w:val="0000FF"/>
        <w:sz w:val="18"/>
        <w:u w:val="single"/>
      </w:rPr>
      <w:t>org</w:t>
    </w:r>
    <w:r>
      <w:rPr>
        <w:color w:val="0000FF"/>
        <w:sz w:val="18"/>
        <w:u w:val="single"/>
      </w:rPr>
      <w:fldChar w:fldCharType="end"/>
    </w:r>
    <w:r>
      <w:rPr>
        <w:rFonts w:hint="eastAsia" w:ascii="宋体" w:hAnsi="宋体"/>
        <w:color w:val="FF0000"/>
        <w:spacing w:val="5"/>
        <w:sz w:val="18"/>
      </w:rPr>
      <w:t>地址:广州市花都区秀全街花港大道68号</w:t>
    </w:r>
  </w:p>
  <w:p>
    <w:pPr>
      <w:spacing w:line="14" w:lineRule="auto"/>
      <w:rPr>
        <w:rFonts w:eastAsia="Times New Roman"/>
        <w:sz w:val="20"/>
      </w:rPr>
    </w:pPr>
    <w:r>
      <w:rPr>
        <w:rFonts w:eastAsia="Times New Roman"/>
        <w:sz w:val="21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5774690</wp:posOffset>
              </wp:positionH>
              <wp:positionV relativeFrom="page">
                <wp:posOffset>381635</wp:posOffset>
              </wp:positionV>
              <wp:extent cx="1078230" cy="133350"/>
              <wp:effectExtent l="2540" t="635" r="0" b="0"/>
              <wp:wrapNone/>
              <wp:docPr id="1" name="文本框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0" o:spid="_x0000_s1026" o:spt="202" type="#_x0000_t202" style="position:absolute;left:0pt;margin-left:454.7pt;margin-top:30.05pt;height:10.5pt;width:84.9pt;mso-position-horizontal-relative:page;mso-position-vertical-relative:page;z-index:-251659264;mso-width-relative:page;mso-height-relative:page;" filled="f" stroked="f" coordsize="21600,21600" o:gfxdata="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jjGK72AAAAAoBAAAPAAAAAAAAAAEAIAAAACIAAABkcnMvZG93bnJldi54bWxQSwEC&#10;FAAUAAAACACHTuJA2yIqm/QBAAC6AwAADgAAAAAAAAABACAAAAAnAQAAZHJzL2Uyb0RvYy54bWxQ&#10;SwUGAAAAAAYABgBZAQAAj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eastAsia="Times New Roman"/>
        <w:sz w:val="20"/>
      </w:rPr>
    </w:pPr>
    <w:r>
      <w:rPr>
        <w:rFonts w:eastAsia="Times New Roman"/>
        <w:sz w:val="2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383540</wp:posOffset>
              </wp:positionV>
              <wp:extent cx="1078230" cy="133350"/>
              <wp:effectExtent l="2540" t="2540" r="0" b="0"/>
              <wp:wrapNone/>
              <wp:docPr id="2" name="文本框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90" w:lineRule="exact"/>
                            <w:ind w:left="20"/>
                            <w:rPr>
                              <w:rFonts w:ascii="宋体" w:hAnsi="宋体"/>
                              <w:sz w:val="17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17"/>
                            </w:rPr>
                            <w:t>RGBW 4in1 8W7</w:t>
                          </w:r>
                          <w:r>
                            <w:rPr>
                              <w:rFonts w:hint="eastAsia" w:ascii="宋体" w:hAnsi="宋体"/>
                              <w:spacing w:val="-4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/>
                              <w:sz w:val="17"/>
                            </w:rPr>
                            <w:t>颗帕灯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9" o:spid="_x0000_s1026" o:spt="202" type="#_x0000_t202" style="position:absolute;left:0pt;margin-left:55.7pt;margin-top:30.2pt;height:10.5pt;width:84.9pt;mso-position-horizontal-relative:page;mso-position-vertical-relative:page;z-index:-251658240;mso-width-relative:page;mso-height-relative:page;" filled="f" stroked="f" coordsize="21600,21600" o:gfxdata="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hQDxN1wAAAAkBAAAPAAAAAAAAAAEAIAAAACIAAABkcnMvZG93bnJldi54bWxQSwEC&#10;FAAUAAAACACHTuJAjGCYxvUBAAC6AwAADgAAAAAAAAABACAAAAAmAQAAZHJzL2Uyb0RvYy54bWxQ&#10;SwUGAAAAAAYABgBZAQAAj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90" w:lineRule="exact"/>
                      <w:ind w:left="20"/>
                      <w:rPr>
                        <w:rFonts w:ascii="宋体" w:hAnsi="宋体"/>
                        <w:sz w:val="17"/>
                      </w:rPr>
                    </w:pPr>
                    <w:r>
                      <w:rPr>
                        <w:rFonts w:hint="eastAsia" w:ascii="宋体" w:hAnsi="宋体"/>
                        <w:sz w:val="17"/>
                      </w:rPr>
                      <w:t>RGBW 4in1 8W7</w:t>
                    </w:r>
                    <w:r>
                      <w:rPr>
                        <w:rFonts w:hint="eastAsia" w:ascii="宋体" w:hAnsi="宋体"/>
                        <w:spacing w:val="-43"/>
                        <w:sz w:val="17"/>
                      </w:rPr>
                      <w:t xml:space="preserve"> </w:t>
                    </w:r>
                    <w:r>
                      <w:rPr>
                        <w:rFonts w:hint="eastAsia" w:ascii="宋体" w:hAnsi="宋体"/>
                        <w:sz w:val="17"/>
                      </w:rPr>
                      <w:t>颗帕灯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444C2"/>
    <w:multiLevelType w:val="multilevel"/>
    <w:tmpl w:val="4A9444C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25B2784"/>
    <w:multiLevelType w:val="multilevel"/>
    <w:tmpl w:val="525B278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16110D1"/>
    <w:multiLevelType w:val="multilevel"/>
    <w:tmpl w:val="616110D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CD7"/>
    <w:rsid w:val="000001B3"/>
    <w:rsid w:val="00012655"/>
    <w:rsid w:val="0001589D"/>
    <w:rsid w:val="0001670E"/>
    <w:rsid w:val="00017FAA"/>
    <w:rsid w:val="000328DE"/>
    <w:rsid w:val="00033250"/>
    <w:rsid w:val="00033521"/>
    <w:rsid w:val="000367E7"/>
    <w:rsid w:val="000517A4"/>
    <w:rsid w:val="00052C90"/>
    <w:rsid w:val="00057B3E"/>
    <w:rsid w:val="00064377"/>
    <w:rsid w:val="00066313"/>
    <w:rsid w:val="00066C95"/>
    <w:rsid w:val="00087FD0"/>
    <w:rsid w:val="000A322E"/>
    <w:rsid w:val="000A47A4"/>
    <w:rsid w:val="000B0A05"/>
    <w:rsid w:val="000B31E7"/>
    <w:rsid w:val="000C07AC"/>
    <w:rsid w:val="000C510A"/>
    <w:rsid w:val="000D7E70"/>
    <w:rsid w:val="000D7ED4"/>
    <w:rsid w:val="000E3B55"/>
    <w:rsid w:val="000E5323"/>
    <w:rsid w:val="000E7B89"/>
    <w:rsid w:val="000F22DB"/>
    <w:rsid w:val="001055D8"/>
    <w:rsid w:val="00110B9B"/>
    <w:rsid w:val="00113106"/>
    <w:rsid w:val="00113CE4"/>
    <w:rsid w:val="00122805"/>
    <w:rsid w:val="0012745B"/>
    <w:rsid w:val="0013580A"/>
    <w:rsid w:val="00142CA1"/>
    <w:rsid w:val="00143E81"/>
    <w:rsid w:val="0015230D"/>
    <w:rsid w:val="00157B47"/>
    <w:rsid w:val="00160D3E"/>
    <w:rsid w:val="00160F4D"/>
    <w:rsid w:val="001641B6"/>
    <w:rsid w:val="00165151"/>
    <w:rsid w:val="00165E34"/>
    <w:rsid w:val="00166DE8"/>
    <w:rsid w:val="0017370A"/>
    <w:rsid w:val="00175FCE"/>
    <w:rsid w:val="00176993"/>
    <w:rsid w:val="00176CBD"/>
    <w:rsid w:val="0018308E"/>
    <w:rsid w:val="00185581"/>
    <w:rsid w:val="00187B54"/>
    <w:rsid w:val="00192726"/>
    <w:rsid w:val="0019482E"/>
    <w:rsid w:val="001A15A1"/>
    <w:rsid w:val="001A4E2F"/>
    <w:rsid w:val="001C211C"/>
    <w:rsid w:val="001C48D8"/>
    <w:rsid w:val="001C6560"/>
    <w:rsid w:val="001D6FCE"/>
    <w:rsid w:val="001E735D"/>
    <w:rsid w:val="001F1A90"/>
    <w:rsid w:val="001F74E0"/>
    <w:rsid w:val="00201398"/>
    <w:rsid w:val="00210126"/>
    <w:rsid w:val="00210699"/>
    <w:rsid w:val="00212710"/>
    <w:rsid w:val="00212979"/>
    <w:rsid w:val="00216797"/>
    <w:rsid w:val="00226379"/>
    <w:rsid w:val="00242AC2"/>
    <w:rsid w:val="00242B6C"/>
    <w:rsid w:val="00245C90"/>
    <w:rsid w:val="00260BC7"/>
    <w:rsid w:val="00276539"/>
    <w:rsid w:val="002766F4"/>
    <w:rsid w:val="00276FA2"/>
    <w:rsid w:val="0028520E"/>
    <w:rsid w:val="00287E26"/>
    <w:rsid w:val="0029291B"/>
    <w:rsid w:val="00295A0B"/>
    <w:rsid w:val="002A190E"/>
    <w:rsid w:val="002B56DD"/>
    <w:rsid w:val="002C514A"/>
    <w:rsid w:val="002C57A1"/>
    <w:rsid w:val="002D73BE"/>
    <w:rsid w:val="002F1662"/>
    <w:rsid w:val="002F2460"/>
    <w:rsid w:val="0031058A"/>
    <w:rsid w:val="00313F48"/>
    <w:rsid w:val="00315B4D"/>
    <w:rsid w:val="00335CF5"/>
    <w:rsid w:val="00336878"/>
    <w:rsid w:val="0035543F"/>
    <w:rsid w:val="0037110B"/>
    <w:rsid w:val="00371167"/>
    <w:rsid w:val="00371D39"/>
    <w:rsid w:val="00374B1B"/>
    <w:rsid w:val="003802F6"/>
    <w:rsid w:val="00385A51"/>
    <w:rsid w:val="003864E1"/>
    <w:rsid w:val="00394D23"/>
    <w:rsid w:val="003C2A2A"/>
    <w:rsid w:val="003C35A0"/>
    <w:rsid w:val="003E112E"/>
    <w:rsid w:val="003E34F9"/>
    <w:rsid w:val="003E6406"/>
    <w:rsid w:val="003F2F79"/>
    <w:rsid w:val="00404F30"/>
    <w:rsid w:val="004052DC"/>
    <w:rsid w:val="004110A4"/>
    <w:rsid w:val="00413636"/>
    <w:rsid w:val="00420C14"/>
    <w:rsid w:val="004279BB"/>
    <w:rsid w:val="00427FB4"/>
    <w:rsid w:val="00432894"/>
    <w:rsid w:val="004728C6"/>
    <w:rsid w:val="0048164B"/>
    <w:rsid w:val="00491E03"/>
    <w:rsid w:val="00492A07"/>
    <w:rsid w:val="0049755E"/>
    <w:rsid w:val="004A30A3"/>
    <w:rsid w:val="004C06BE"/>
    <w:rsid w:val="004C1022"/>
    <w:rsid w:val="004C586C"/>
    <w:rsid w:val="004C6448"/>
    <w:rsid w:val="004C72C6"/>
    <w:rsid w:val="004D1938"/>
    <w:rsid w:val="004D63B2"/>
    <w:rsid w:val="004D752B"/>
    <w:rsid w:val="004F6431"/>
    <w:rsid w:val="00506EC3"/>
    <w:rsid w:val="005072C2"/>
    <w:rsid w:val="00523BE3"/>
    <w:rsid w:val="005259EA"/>
    <w:rsid w:val="00530217"/>
    <w:rsid w:val="00537DC4"/>
    <w:rsid w:val="00540EB9"/>
    <w:rsid w:val="005453A0"/>
    <w:rsid w:val="00564D6A"/>
    <w:rsid w:val="00573A9A"/>
    <w:rsid w:val="00574EC8"/>
    <w:rsid w:val="00585305"/>
    <w:rsid w:val="00591239"/>
    <w:rsid w:val="005A2ECB"/>
    <w:rsid w:val="005A76ED"/>
    <w:rsid w:val="005B07CE"/>
    <w:rsid w:val="005B1E71"/>
    <w:rsid w:val="005E58C2"/>
    <w:rsid w:val="005E5D36"/>
    <w:rsid w:val="005E7090"/>
    <w:rsid w:val="005E791D"/>
    <w:rsid w:val="005F10CA"/>
    <w:rsid w:val="0061189C"/>
    <w:rsid w:val="00612E4F"/>
    <w:rsid w:val="0061324D"/>
    <w:rsid w:val="006150E0"/>
    <w:rsid w:val="006178F3"/>
    <w:rsid w:val="00617BFE"/>
    <w:rsid w:val="00617D83"/>
    <w:rsid w:val="00621BB8"/>
    <w:rsid w:val="00626CC6"/>
    <w:rsid w:val="0063143F"/>
    <w:rsid w:val="00637E56"/>
    <w:rsid w:val="00645B5F"/>
    <w:rsid w:val="006473FC"/>
    <w:rsid w:val="006520A0"/>
    <w:rsid w:val="0065563D"/>
    <w:rsid w:val="00671FB6"/>
    <w:rsid w:val="00672C5A"/>
    <w:rsid w:val="00695962"/>
    <w:rsid w:val="00695B09"/>
    <w:rsid w:val="006A348C"/>
    <w:rsid w:val="006A3F21"/>
    <w:rsid w:val="006B1E8E"/>
    <w:rsid w:val="006B3CD7"/>
    <w:rsid w:val="006B49A4"/>
    <w:rsid w:val="006B752D"/>
    <w:rsid w:val="006C3534"/>
    <w:rsid w:val="006C3BF2"/>
    <w:rsid w:val="006C5311"/>
    <w:rsid w:val="006C5A3B"/>
    <w:rsid w:val="006D2BAD"/>
    <w:rsid w:val="006E3635"/>
    <w:rsid w:val="006F0645"/>
    <w:rsid w:val="006F7842"/>
    <w:rsid w:val="00704168"/>
    <w:rsid w:val="00704892"/>
    <w:rsid w:val="00720DFD"/>
    <w:rsid w:val="00721682"/>
    <w:rsid w:val="00722CEA"/>
    <w:rsid w:val="0073315A"/>
    <w:rsid w:val="00733F4B"/>
    <w:rsid w:val="007429CE"/>
    <w:rsid w:val="00742F59"/>
    <w:rsid w:val="00747A35"/>
    <w:rsid w:val="00756E46"/>
    <w:rsid w:val="00760C8D"/>
    <w:rsid w:val="0076311D"/>
    <w:rsid w:val="007649A6"/>
    <w:rsid w:val="00766DF0"/>
    <w:rsid w:val="0077369D"/>
    <w:rsid w:val="00776673"/>
    <w:rsid w:val="007957EF"/>
    <w:rsid w:val="007B15F8"/>
    <w:rsid w:val="007B3282"/>
    <w:rsid w:val="007C67B4"/>
    <w:rsid w:val="007D4388"/>
    <w:rsid w:val="007D50EA"/>
    <w:rsid w:val="007E168B"/>
    <w:rsid w:val="007E25EE"/>
    <w:rsid w:val="00803955"/>
    <w:rsid w:val="00816B9F"/>
    <w:rsid w:val="00830BD7"/>
    <w:rsid w:val="008366F5"/>
    <w:rsid w:val="00853B47"/>
    <w:rsid w:val="00856B57"/>
    <w:rsid w:val="0086053E"/>
    <w:rsid w:val="008863F7"/>
    <w:rsid w:val="0088733B"/>
    <w:rsid w:val="00894F58"/>
    <w:rsid w:val="008A07A1"/>
    <w:rsid w:val="008A1833"/>
    <w:rsid w:val="008A3A10"/>
    <w:rsid w:val="008B6CDC"/>
    <w:rsid w:val="008C38F3"/>
    <w:rsid w:val="008C59D6"/>
    <w:rsid w:val="008D09F1"/>
    <w:rsid w:val="008D0D6F"/>
    <w:rsid w:val="008D1CC2"/>
    <w:rsid w:val="008D5BAE"/>
    <w:rsid w:val="008F635B"/>
    <w:rsid w:val="0090092A"/>
    <w:rsid w:val="00900B00"/>
    <w:rsid w:val="00901564"/>
    <w:rsid w:val="00910D90"/>
    <w:rsid w:val="009129BD"/>
    <w:rsid w:val="009149EA"/>
    <w:rsid w:val="00957642"/>
    <w:rsid w:val="00965397"/>
    <w:rsid w:val="00966B9C"/>
    <w:rsid w:val="00972294"/>
    <w:rsid w:val="00973806"/>
    <w:rsid w:val="00974178"/>
    <w:rsid w:val="0099306A"/>
    <w:rsid w:val="00995529"/>
    <w:rsid w:val="009A600B"/>
    <w:rsid w:val="009B394A"/>
    <w:rsid w:val="009B77D5"/>
    <w:rsid w:val="009C5399"/>
    <w:rsid w:val="009D62A2"/>
    <w:rsid w:val="009E07E5"/>
    <w:rsid w:val="009E1BF2"/>
    <w:rsid w:val="009F41FD"/>
    <w:rsid w:val="00A02C9E"/>
    <w:rsid w:val="00A06E76"/>
    <w:rsid w:val="00A16416"/>
    <w:rsid w:val="00A17895"/>
    <w:rsid w:val="00A30BCE"/>
    <w:rsid w:val="00A334E9"/>
    <w:rsid w:val="00A36281"/>
    <w:rsid w:val="00A42123"/>
    <w:rsid w:val="00A4347A"/>
    <w:rsid w:val="00A47F80"/>
    <w:rsid w:val="00A503AE"/>
    <w:rsid w:val="00A557EB"/>
    <w:rsid w:val="00A56029"/>
    <w:rsid w:val="00A76ACC"/>
    <w:rsid w:val="00A822EA"/>
    <w:rsid w:val="00A902A5"/>
    <w:rsid w:val="00A944F4"/>
    <w:rsid w:val="00AA5099"/>
    <w:rsid w:val="00AA705E"/>
    <w:rsid w:val="00AC29DE"/>
    <w:rsid w:val="00AD58A4"/>
    <w:rsid w:val="00AD694D"/>
    <w:rsid w:val="00AE2B9A"/>
    <w:rsid w:val="00AE3C00"/>
    <w:rsid w:val="00AF10B0"/>
    <w:rsid w:val="00B01307"/>
    <w:rsid w:val="00B11BD3"/>
    <w:rsid w:val="00B16D50"/>
    <w:rsid w:val="00B263CD"/>
    <w:rsid w:val="00B33719"/>
    <w:rsid w:val="00B3723D"/>
    <w:rsid w:val="00B41A94"/>
    <w:rsid w:val="00B45336"/>
    <w:rsid w:val="00B4569E"/>
    <w:rsid w:val="00B63A00"/>
    <w:rsid w:val="00B70911"/>
    <w:rsid w:val="00B738AA"/>
    <w:rsid w:val="00B77C60"/>
    <w:rsid w:val="00B8352E"/>
    <w:rsid w:val="00B9067E"/>
    <w:rsid w:val="00B9524D"/>
    <w:rsid w:val="00BA4828"/>
    <w:rsid w:val="00BA5FEC"/>
    <w:rsid w:val="00BB1B1E"/>
    <w:rsid w:val="00BB3A55"/>
    <w:rsid w:val="00BC7E24"/>
    <w:rsid w:val="00BE10CF"/>
    <w:rsid w:val="00BE37C6"/>
    <w:rsid w:val="00C130CC"/>
    <w:rsid w:val="00C17790"/>
    <w:rsid w:val="00C17815"/>
    <w:rsid w:val="00C203AF"/>
    <w:rsid w:val="00C251F1"/>
    <w:rsid w:val="00C26878"/>
    <w:rsid w:val="00C26A1D"/>
    <w:rsid w:val="00C43222"/>
    <w:rsid w:val="00C44E6C"/>
    <w:rsid w:val="00C53CD8"/>
    <w:rsid w:val="00C53FC6"/>
    <w:rsid w:val="00C56894"/>
    <w:rsid w:val="00C675BE"/>
    <w:rsid w:val="00C70932"/>
    <w:rsid w:val="00C71AE5"/>
    <w:rsid w:val="00C73933"/>
    <w:rsid w:val="00C771E2"/>
    <w:rsid w:val="00C778E1"/>
    <w:rsid w:val="00C8205C"/>
    <w:rsid w:val="00C93E34"/>
    <w:rsid w:val="00C95C6D"/>
    <w:rsid w:val="00C96AAB"/>
    <w:rsid w:val="00CB4C3E"/>
    <w:rsid w:val="00CD400B"/>
    <w:rsid w:val="00CE18D6"/>
    <w:rsid w:val="00CE30CE"/>
    <w:rsid w:val="00CE35C9"/>
    <w:rsid w:val="00D075F0"/>
    <w:rsid w:val="00D11336"/>
    <w:rsid w:val="00D1553C"/>
    <w:rsid w:val="00D1712E"/>
    <w:rsid w:val="00D17CC4"/>
    <w:rsid w:val="00D21FB0"/>
    <w:rsid w:val="00D2353E"/>
    <w:rsid w:val="00D23C89"/>
    <w:rsid w:val="00D23CBC"/>
    <w:rsid w:val="00D319D1"/>
    <w:rsid w:val="00D3243B"/>
    <w:rsid w:val="00D34A68"/>
    <w:rsid w:val="00D50F2D"/>
    <w:rsid w:val="00D52ACE"/>
    <w:rsid w:val="00D66EC3"/>
    <w:rsid w:val="00D748BB"/>
    <w:rsid w:val="00D74B46"/>
    <w:rsid w:val="00D773D5"/>
    <w:rsid w:val="00D82FD7"/>
    <w:rsid w:val="00D94234"/>
    <w:rsid w:val="00D953D9"/>
    <w:rsid w:val="00D965FB"/>
    <w:rsid w:val="00D97E43"/>
    <w:rsid w:val="00DB6CA1"/>
    <w:rsid w:val="00DD0702"/>
    <w:rsid w:val="00DD5B03"/>
    <w:rsid w:val="00DD697D"/>
    <w:rsid w:val="00DE151F"/>
    <w:rsid w:val="00DE42B8"/>
    <w:rsid w:val="00DF081F"/>
    <w:rsid w:val="00DF4453"/>
    <w:rsid w:val="00E0132E"/>
    <w:rsid w:val="00E01BF9"/>
    <w:rsid w:val="00E21145"/>
    <w:rsid w:val="00E24C84"/>
    <w:rsid w:val="00E272A2"/>
    <w:rsid w:val="00E34936"/>
    <w:rsid w:val="00E355A3"/>
    <w:rsid w:val="00E47C59"/>
    <w:rsid w:val="00E5113E"/>
    <w:rsid w:val="00E53434"/>
    <w:rsid w:val="00E552EC"/>
    <w:rsid w:val="00E63532"/>
    <w:rsid w:val="00E651DD"/>
    <w:rsid w:val="00E70B51"/>
    <w:rsid w:val="00E72C4B"/>
    <w:rsid w:val="00E75806"/>
    <w:rsid w:val="00E82386"/>
    <w:rsid w:val="00E94FC0"/>
    <w:rsid w:val="00EA05EA"/>
    <w:rsid w:val="00EA1848"/>
    <w:rsid w:val="00EA4C8F"/>
    <w:rsid w:val="00EA6125"/>
    <w:rsid w:val="00EB283A"/>
    <w:rsid w:val="00EC39DC"/>
    <w:rsid w:val="00EC5F15"/>
    <w:rsid w:val="00ED5258"/>
    <w:rsid w:val="00ED6305"/>
    <w:rsid w:val="00ED689C"/>
    <w:rsid w:val="00EF1793"/>
    <w:rsid w:val="00F10AC8"/>
    <w:rsid w:val="00F12748"/>
    <w:rsid w:val="00F147AF"/>
    <w:rsid w:val="00F27CD9"/>
    <w:rsid w:val="00F34064"/>
    <w:rsid w:val="00F34AF8"/>
    <w:rsid w:val="00F352A2"/>
    <w:rsid w:val="00F63E2B"/>
    <w:rsid w:val="00F829D3"/>
    <w:rsid w:val="00F979ED"/>
    <w:rsid w:val="00FA0311"/>
    <w:rsid w:val="00FA048C"/>
    <w:rsid w:val="00FA2AE9"/>
    <w:rsid w:val="00FB5ADD"/>
    <w:rsid w:val="00FB71F0"/>
    <w:rsid w:val="00FB7C9B"/>
    <w:rsid w:val="00FC3EA2"/>
    <w:rsid w:val="00FC4D04"/>
    <w:rsid w:val="00FF32DD"/>
    <w:rsid w:val="00FF39FD"/>
    <w:rsid w:val="00FF4AC0"/>
    <w:rsid w:val="250C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46"/>
    <w:qFormat/>
    <w:uiPriority w:val="9"/>
    <w:pPr>
      <w:keepNext/>
      <w:keepLines/>
      <w:spacing w:before="480" w:after="0"/>
      <w:outlineLvl w:val="0"/>
    </w:pPr>
    <w:rPr>
      <w:rFonts w:ascii="Cambria" w:hAnsi="Cambria"/>
      <w:b/>
      <w:bCs/>
      <w:color w:val="21798E"/>
      <w:sz w:val="28"/>
      <w:szCs w:val="28"/>
    </w:rPr>
  </w:style>
  <w:style w:type="paragraph" w:styleId="3">
    <w:name w:val="heading 2"/>
    <w:basedOn w:val="1"/>
    <w:next w:val="1"/>
    <w:link w:val="45"/>
    <w:unhideWhenUsed/>
    <w:qFormat/>
    <w:uiPriority w:val="9"/>
    <w:pPr>
      <w:keepNext/>
      <w:keepLines/>
      <w:spacing w:before="200" w:after="0"/>
      <w:outlineLvl w:val="1"/>
    </w:pPr>
    <w:rPr>
      <w:rFonts w:ascii="Cambria" w:hAnsi="Cambria"/>
      <w:b/>
      <w:bCs/>
      <w:color w:val="2DA2BF"/>
      <w:sz w:val="26"/>
      <w:szCs w:val="26"/>
    </w:rPr>
  </w:style>
  <w:style w:type="paragraph" w:styleId="4">
    <w:name w:val="heading 3"/>
    <w:basedOn w:val="1"/>
    <w:next w:val="1"/>
    <w:link w:val="47"/>
    <w:unhideWhenUsed/>
    <w:qFormat/>
    <w:uiPriority w:val="9"/>
    <w:pPr>
      <w:keepNext/>
      <w:keepLines/>
      <w:spacing w:before="200" w:after="0"/>
      <w:outlineLvl w:val="2"/>
    </w:pPr>
    <w:rPr>
      <w:rFonts w:ascii="Cambria" w:hAnsi="Cambria"/>
      <w:b/>
      <w:bCs/>
      <w:color w:val="2DA2BF"/>
      <w:sz w:val="20"/>
      <w:szCs w:val="20"/>
    </w:rPr>
  </w:style>
  <w:style w:type="paragraph" w:styleId="5">
    <w:name w:val="heading 4"/>
    <w:basedOn w:val="1"/>
    <w:next w:val="1"/>
    <w:link w:val="50"/>
    <w:semiHidden/>
    <w:unhideWhenUsed/>
    <w:qFormat/>
    <w:uiPriority w:val="9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2DA2BF"/>
      <w:sz w:val="20"/>
      <w:szCs w:val="20"/>
    </w:rPr>
  </w:style>
  <w:style w:type="paragraph" w:styleId="6">
    <w:name w:val="heading 5"/>
    <w:basedOn w:val="1"/>
    <w:next w:val="1"/>
    <w:link w:val="51"/>
    <w:semiHidden/>
    <w:unhideWhenUsed/>
    <w:qFormat/>
    <w:uiPriority w:val="9"/>
    <w:pPr>
      <w:keepNext/>
      <w:keepLines/>
      <w:spacing w:before="200" w:after="0"/>
      <w:outlineLvl w:val="4"/>
    </w:pPr>
    <w:rPr>
      <w:rFonts w:ascii="Cambria" w:hAnsi="Cambria"/>
      <w:color w:val="16505E"/>
      <w:sz w:val="20"/>
      <w:szCs w:val="20"/>
    </w:rPr>
  </w:style>
  <w:style w:type="paragraph" w:styleId="7">
    <w:name w:val="heading 6"/>
    <w:basedOn w:val="1"/>
    <w:next w:val="1"/>
    <w:link w:val="52"/>
    <w:semiHidden/>
    <w:unhideWhenUsed/>
    <w:qFormat/>
    <w:uiPriority w:val="9"/>
    <w:pPr>
      <w:keepNext/>
      <w:keepLines/>
      <w:spacing w:before="200" w:after="0"/>
      <w:outlineLvl w:val="5"/>
    </w:pPr>
    <w:rPr>
      <w:rFonts w:ascii="Cambria" w:hAnsi="Cambria"/>
      <w:i/>
      <w:iCs/>
      <w:color w:val="16505E"/>
      <w:sz w:val="20"/>
      <w:szCs w:val="20"/>
    </w:rPr>
  </w:style>
  <w:style w:type="paragraph" w:styleId="8">
    <w:name w:val="heading 7"/>
    <w:basedOn w:val="1"/>
    <w:next w:val="1"/>
    <w:link w:val="53"/>
    <w:semiHidden/>
    <w:unhideWhenUsed/>
    <w:qFormat/>
    <w:uiPriority w:val="9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9">
    <w:name w:val="heading 8"/>
    <w:basedOn w:val="1"/>
    <w:next w:val="1"/>
    <w:link w:val="54"/>
    <w:semiHidden/>
    <w:unhideWhenUsed/>
    <w:qFormat/>
    <w:uiPriority w:val="9"/>
    <w:pPr>
      <w:keepNext/>
      <w:keepLines/>
      <w:spacing w:before="200" w:after="0"/>
      <w:outlineLvl w:val="7"/>
    </w:pPr>
    <w:rPr>
      <w:rFonts w:ascii="Cambria" w:hAnsi="Cambria"/>
      <w:color w:val="2DA2BF"/>
      <w:sz w:val="20"/>
      <w:szCs w:val="20"/>
    </w:rPr>
  </w:style>
  <w:style w:type="paragraph" w:styleId="10">
    <w:name w:val="heading 9"/>
    <w:basedOn w:val="1"/>
    <w:next w:val="1"/>
    <w:link w:val="55"/>
    <w:semiHidden/>
    <w:unhideWhenUsed/>
    <w:qFormat/>
    <w:uiPriority w:val="9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27">
    <w:name w:val="Default Paragraph Font"/>
    <w:semiHidden/>
    <w:unhideWhenUsed/>
    <w:uiPriority w:val="1"/>
  </w:style>
  <w:style w:type="table" w:default="1" w:styleId="3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semiHidden/>
    <w:unhideWhenUsed/>
    <w:uiPriority w:val="39"/>
    <w:pPr>
      <w:ind w:left="2520" w:leftChars="1200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2DA2BF"/>
      <w:sz w:val="18"/>
      <w:szCs w:val="18"/>
    </w:rPr>
  </w:style>
  <w:style w:type="paragraph" w:styleId="13">
    <w:name w:val="Body Text"/>
    <w:basedOn w:val="1"/>
    <w:link w:val="44"/>
    <w:unhideWhenUsed/>
    <w:uiPriority w:val="1"/>
    <w:pPr>
      <w:ind w:left="113"/>
    </w:pPr>
    <w:rPr>
      <w:rFonts w:hint="eastAsia" w:ascii="宋体" w:hAnsi="宋体"/>
      <w:sz w:val="24"/>
      <w:szCs w:val="20"/>
    </w:rPr>
  </w:style>
  <w:style w:type="paragraph" w:styleId="14">
    <w:name w:val="toc 5"/>
    <w:basedOn w:val="1"/>
    <w:next w:val="1"/>
    <w:semiHidden/>
    <w:unhideWhenUsed/>
    <w:uiPriority w:val="39"/>
    <w:pPr>
      <w:ind w:left="1680" w:leftChars="800"/>
    </w:pPr>
  </w:style>
  <w:style w:type="paragraph" w:styleId="15">
    <w:name w:val="toc 3"/>
    <w:basedOn w:val="1"/>
    <w:next w:val="1"/>
    <w:semiHidden/>
    <w:unhideWhenUsed/>
    <w:uiPriority w:val="39"/>
    <w:pPr>
      <w:ind w:left="840" w:leftChars="400"/>
    </w:pPr>
  </w:style>
  <w:style w:type="paragraph" w:styleId="16">
    <w:name w:val="toc 8"/>
    <w:basedOn w:val="1"/>
    <w:next w:val="1"/>
    <w:semiHidden/>
    <w:unhideWhenUsed/>
    <w:uiPriority w:val="39"/>
    <w:pPr>
      <w:ind w:left="2940" w:leftChars="1400"/>
    </w:pPr>
  </w:style>
  <w:style w:type="paragraph" w:styleId="17">
    <w:name w:val="Balloon Text"/>
    <w:basedOn w:val="1"/>
    <w:link w:val="41"/>
    <w:semiHidden/>
    <w:unhideWhenUsed/>
    <w:uiPriority w:val="99"/>
    <w:rPr>
      <w:sz w:val="18"/>
      <w:szCs w:val="18"/>
    </w:rPr>
  </w:style>
  <w:style w:type="paragraph" w:styleId="18">
    <w:name w:val="footer"/>
    <w:basedOn w:val="1"/>
    <w:link w:val="43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9">
    <w:name w:val="header"/>
    <w:basedOn w:val="1"/>
    <w:link w:val="4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uiPriority w:val="39"/>
  </w:style>
  <w:style w:type="paragraph" w:styleId="21">
    <w:name w:val="toc 4"/>
    <w:basedOn w:val="1"/>
    <w:next w:val="1"/>
    <w:semiHidden/>
    <w:unhideWhenUsed/>
    <w:uiPriority w:val="39"/>
    <w:pPr>
      <w:ind w:left="1260" w:leftChars="600"/>
    </w:pPr>
  </w:style>
  <w:style w:type="paragraph" w:styleId="22">
    <w:name w:val="Subtitle"/>
    <w:basedOn w:val="1"/>
    <w:next w:val="1"/>
    <w:link w:val="57"/>
    <w:qFormat/>
    <w:uiPriority w:val="11"/>
    <w:rPr>
      <w:rFonts w:ascii="Cambria" w:hAnsi="Cambria"/>
      <w:i/>
      <w:iCs/>
      <w:color w:val="2DA2BF"/>
      <w:spacing w:val="15"/>
      <w:sz w:val="24"/>
      <w:szCs w:val="24"/>
    </w:rPr>
  </w:style>
  <w:style w:type="paragraph" w:styleId="23">
    <w:name w:val="toc 6"/>
    <w:basedOn w:val="1"/>
    <w:next w:val="1"/>
    <w:semiHidden/>
    <w:unhideWhenUsed/>
    <w:uiPriority w:val="39"/>
    <w:pPr>
      <w:ind w:left="2100" w:leftChars="1000"/>
    </w:pPr>
  </w:style>
  <w:style w:type="paragraph" w:styleId="2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5">
    <w:name w:val="toc 9"/>
    <w:basedOn w:val="1"/>
    <w:next w:val="1"/>
    <w:semiHidden/>
    <w:unhideWhenUsed/>
    <w:uiPriority w:val="39"/>
    <w:pPr>
      <w:ind w:left="3360" w:leftChars="1600"/>
    </w:pPr>
  </w:style>
  <w:style w:type="paragraph" w:styleId="26">
    <w:name w:val="Title"/>
    <w:basedOn w:val="1"/>
    <w:next w:val="1"/>
    <w:link w:val="56"/>
    <w:qFormat/>
    <w:uiPriority w:val="10"/>
    <w:pPr>
      <w:pBdr>
        <w:bottom w:val="single" w:color="2DA2BF" w:sz="8" w:space="4"/>
      </w:pBdr>
      <w:spacing w:after="300" w:line="240" w:lineRule="auto"/>
      <w:contextualSpacing/>
    </w:pPr>
    <w:rPr>
      <w:rFonts w:ascii="Cambria" w:hAnsi="Cambria"/>
      <w:color w:val="343434"/>
      <w:spacing w:val="5"/>
      <w:kern w:val="28"/>
      <w:sz w:val="52"/>
      <w:szCs w:val="52"/>
    </w:rPr>
  </w:style>
  <w:style w:type="character" w:styleId="28">
    <w:name w:val="Strong"/>
    <w:qFormat/>
    <w:uiPriority w:val="22"/>
    <w:rPr>
      <w:b/>
      <w:bCs/>
    </w:rPr>
  </w:style>
  <w:style w:type="character" w:styleId="29">
    <w:name w:val="Emphasis"/>
    <w:qFormat/>
    <w:uiPriority w:val="20"/>
    <w:rPr>
      <w:i/>
      <w:iCs/>
    </w:rPr>
  </w:style>
  <w:style w:type="character" w:styleId="30">
    <w:name w:val="Hyperlink"/>
    <w:unhideWhenUsed/>
    <w:qFormat/>
    <w:uiPriority w:val="99"/>
    <w:rPr>
      <w:color w:val="0000FF"/>
      <w:u w:val="single"/>
    </w:rPr>
  </w:style>
  <w:style w:type="table" w:styleId="32">
    <w:name w:val="Table Grid"/>
    <w:basedOn w:val="31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33">
    <w:name w:val="p16"/>
    <w:basedOn w:val="1"/>
    <w:qFormat/>
    <w:uiPriority w:val="0"/>
    <w:pPr>
      <w:ind w:right="-61"/>
      <w:jc w:val="right"/>
    </w:pPr>
    <w:rPr>
      <w:rFonts w:ascii="Microsoft Sans Serif" w:hAnsi="Microsoft Sans Serif" w:cs="Microsoft Sans Serif"/>
      <w:sz w:val="16"/>
      <w:szCs w:val="16"/>
    </w:rPr>
  </w:style>
  <w:style w:type="paragraph" w:customStyle="1" w:styleId="34">
    <w:name w:val="p0"/>
    <w:basedOn w:val="1"/>
    <w:qFormat/>
    <w:uiPriority w:val="0"/>
    <w:rPr>
      <w:rFonts w:ascii="Times New Roman" w:hAnsi="Times New Roman"/>
    </w:rPr>
  </w:style>
  <w:style w:type="paragraph" w:customStyle="1" w:styleId="35">
    <w:name w:val="表格正文"/>
    <w:basedOn w:val="36"/>
    <w:uiPriority w:val="0"/>
    <w:pPr>
      <w:tabs>
        <w:tab w:val="left" w:pos="5244"/>
      </w:tabs>
      <w:spacing w:line="240" w:lineRule="auto"/>
      <w:ind w:firstLine="0" w:firstLineChars="0"/>
      <w:jc w:val="right"/>
    </w:pPr>
  </w:style>
  <w:style w:type="paragraph" w:customStyle="1" w:styleId="36">
    <w:name w:val="五号正文"/>
    <w:uiPriority w:val="0"/>
    <w:pPr>
      <w:tabs>
        <w:tab w:val="left" w:pos="5244"/>
      </w:tabs>
      <w:spacing w:after="200" w:line="0" w:lineRule="atLeast"/>
      <w:ind w:right="-58" w:rightChars="-29" w:firstLine="320" w:firstLineChars="200"/>
    </w:pPr>
    <w:rPr>
      <w:rFonts w:ascii="Microsoft Sans Serif" w:hAnsi="Microsoft Sans Serif" w:eastAsia="Microsoft Sans Serif" w:cs="Microsoft Sans Serif"/>
      <w:kern w:val="2"/>
      <w:sz w:val="16"/>
      <w:szCs w:val="16"/>
      <w:lang w:val="en-US" w:eastAsia="zh-CN" w:bidi="ar-SA"/>
    </w:rPr>
  </w:style>
  <w:style w:type="paragraph" w:customStyle="1" w:styleId="37">
    <w:name w:val="Table Paragraph"/>
    <w:basedOn w:val="1"/>
    <w:unhideWhenUsed/>
    <w:uiPriority w:val="1"/>
    <w:rPr>
      <w:rFonts w:hint="eastAsia"/>
    </w:rPr>
  </w:style>
  <w:style w:type="paragraph" w:customStyle="1" w:styleId="38">
    <w:name w:val="TOC 标题1"/>
    <w:basedOn w:val="2"/>
    <w:next w:val="1"/>
    <w:unhideWhenUsed/>
    <w:qFormat/>
    <w:uiPriority w:val="39"/>
    <w:pPr>
      <w:outlineLvl w:val="9"/>
    </w:pPr>
    <w:rPr>
      <w:bCs w:val="0"/>
      <w:color w:val="365F91"/>
    </w:rPr>
  </w:style>
  <w:style w:type="paragraph" w:customStyle="1" w:styleId="39">
    <w:name w:val="无间隔1"/>
    <w:qFormat/>
    <w:uiPriority w:val="1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">
    <w:name w:val="p17"/>
    <w:basedOn w:val="1"/>
    <w:unhideWhenUsed/>
    <w:uiPriority w:val="0"/>
    <w:pPr>
      <w:spacing w:line="240" w:lineRule="atLeast"/>
      <w:jc w:val="center"/>
    </w:pPr>
    <w:rPr>
      <w:rFonts w:hint="eastAsia"/>
      <w:color w:val="FF0000"/>
      <w:sz w:val="48"/>
    </w:rPr>
  </w:style>
  <w:style w:type="character" w:customStyle="1" w:styleId="41">
    <w:name w:val="批注框文本 Char"/>
    <w:link w:val="17"/>
    <w:semiHidden/>
    <w:qFormat/>
    <w:uiPriority w:val="99"/>
    <w:rPr>
      <w:sz w:val="18"/>
      <w:szCs w:val="18"/>
    </w:rPr>
  </w:style>
  <w:style w:type="character" w:customStyle="1" w:styleId="42">
    <w:name w:val="页眉 Char"/>
    <w:link w:val="19"/>
    <w:qFormat/>
    <w:uiPriority w:val="99"/>
    <w:rPr>
      <w:sz w:val="18"/>
      <w:szCs w:val="18"/>
    </w:rPr>
  </w:style>
  <w:style w:type="character" w:customStyle="1" w:styleId="43">
    <w:name w:val="页脚 Char"/>
    <w:link w:val="18"/>
    <w:qFormat/>
    <w:uiPriority w:val="99"/>
    <w:rPr>
      <w:sz w:val="18"/>
      <w:szCs w:val="18"/>
    </w:rPr>
  </w:style>
  <w:style w:type="character" w:customStyle="1" w:styleId="44">
    <w:name w:val="正文文本 Char"/>
    <w:link w:val="13"/>
    <w:unhideWhenUsed/>
    <w:qFormat/>
    <w:uiPriority w:val="1"/>
    <w:rPr>
      <w:rFonts w:hint="eastAsia" w:ascii="宋体" w:hAnsi="宋体" w:eastAsia="宋体"/>
      <w:sz w:val="24"/>
    </w:rPr>
  </w:style>
  <w:style w:type="character" w:customStyle="1" w:styleId="45">
    <w:name w:val="标题 2 Char"/>
    <w:link w:val="3"/>
    <w:uiPriority w:val="9"/>
    <w:rPr>
      <w:rFonts w:ascii="Cambria" w:hAnsi="Cambria" w:eastAsia="宋体" w:cs="Times New Roman"/>
      <w:b/>
      <w:bCs/>
      <w:color w:val="2DA2BF"/>
      <w:sz w:val="26"/>
      <w:szCs w:val="26"/>
    </w:rPr>
  </w:style>
  <w:style w:type="character" w:customStyle="1" w:styleId="46">
    <w:name w:val="标题 1 Char"/>
    <w:link w:val="2"/>
    <w:uiPriority w:val="9"/>
    <w:rPr>
      <w:rFonts w:ascii="Cambria" w:hAnsi="Cambria" w:eastAsia="宋体" w:cs="Times New Roman"/>
      <w:b/>
      <w:bCs/>
      <w:color w:val="21798E"/>
      <w:sz w:val="28"/>
      <w:szCs w:val="28"/>
    </w:rPr>
  </w:style>
  <w:style w:type="character" w:customStyle="1" w:styleId="47">
    <w:name w:val="标题 3 Char"/>
    <w:link w:val="4"/>
    <w:qFormat/>
    <w:uiPriority w:val="9"/>
    <w:rPr>
      <w:rFonts w:ascii="Cambria" w:hAnsi="Cambria" w:eastAsia="宋体" w:cs="Times New Roman"/>
      <w:b/>
      <w:bCs/>
      <w:color w:val="2DA2BF"/>
    </w:rPr>
  </w:style>
  <w:style w:type="paragraph" w:customStyle="1" w:styleId="48">
    <w:name w:val="TOC Heading"/>
    <w:basedOn w:val="2"/>
    <w:next w:val="1"/>
    <w:semiHidden/>
    <w:unhideWhenUsed/>
    <w:qFormat/>
    <w:uiPriority w:val="39"/>
    <w:pPr>
      <w:outlineLvl w:val="9"/>
    </w:pPr>
  </w:style>
  <w:style w:type="paragraph" w:customStyle="1" w:styleId="49">
    <w:name w:val="项目五号"/>
    <w:basedOn w:val="36"/>
    <w:qFormat/>
    <w:uiPriority w:val="0"/>
    <w:pPr>
      <w:tabs>
        <w:tab w:val="left" w:pos="420"/>
        <w:tab w:val="clear" w:pos="5244"/>
      </w:tabs>
      <w:ind w:right="0" w:rightChars="0" w:firstLine="0" w:firstLineChars="0"/>
    </w:pPr>
    <w:rPr>
      <w:rFonts w:ascii="Times New Roman" w:hAnsi="Times New Roman" w:eastAsia="宋体" w:cs="Times New Roman"/>
      <w:sz w:val="21"/>
      <w:szCs w:val="21"/>
    </w:rPr>
  </w:style>
  <w:style w:type="character" w:customStyle="1" w:styleId="50">
    <w:name w:val="标题 4 Char"/>
    <w:link w:val="5"/>
    <w:semiHidden/>
    <w:qFormat/>
    <w:uiPriority w:val="9"/>
    <w:rPr>
      <w:rFonts w:ascii="Cambria" w:hAnsi="Cambria" w:eastAsia="宋体" w:cs="Times New Roman"/>
      <w:b/>
      <w:bCs/>
      <w:i/>
      <w:iCs/>
      <w:color w:val="2DA2BF"/>
    </w:rPr>
  </w:style>
  <w:style w:type="character" w:customStyle="1" w:styleId="51">
    <w:name w:val="标题 5 Char"/>
    <w:link w:val="6"/>
    <w:semiHidden/>
    <w:uiPriority w:val="9"/>
    <w:rPr>
      <w:rFonts w:ascii="Cambria" w:hAnsi="Cambria" w:eastAsia="宋体" w:cs="Times New Roman"/>
      <w:color w:val="16505E"/>
    </w:rPr>
  </w:style>
  <w:style w:type="character" w:customStyle="1" w:styleId="52">
    <w:name w:val="标题 6 Char"/>
    <w:link w:val="7"/>
    <w:semiHidden/>
    <w:qFormat/>
    <w:uiPriority w:val="9"/>
    <w:rPr>
      <w:rFonts w:ascii="Cambria" w:hAnsi="Cambria" w:eastAsia="宋体" w:cs="Times New Roman"/>
      <w:i/>
      <w:iCs/>
      <w:color w:val="16505E"/>
    </w:rPr>
  </w:style>
  <w:style w:type="character" w:customStyle="1" w:styleId="53">
    <w:name w:val="标题 7 Char"/>
    <w:link w:val="8"/>
    <w:semiHidden/>
    <w:uiPriority w:val="9"/>
    <w:rPr>
      <w:rFonts w:ascii="Cambria" w:hAnsi="Cambria" w:eastAsia="宋体" w:cs="Times New Roman"/>
      <w:i/>
      <w:iCs/>
      <w:color w:val="404040"/>
    </w:rPr>
  </w:style>
  <w:style w:type="character" w:customStyle="1" w:styleId="54">
    <w:name w:val="标题 8 Char"/>
    <w:link w:val="9"/>
    <w:semiHidden/>
    <w:qFormat/>
    <w:uiPriority w:val="9"/>
    <w:rPr>
      <w:rFonts w:ascii="Cambria" w:hAnsi="Cambria" w:eastAsia="宋体" w:cs="Times New Roman"/>
      <w:color w:val="2DA2BF"/>
      <w:sz w:val="20"/>
      <w:szCs w:val="20"/>
    </w:rPr>
  </w:style>
  <w:style w:type="character" w:customStyle="1" w:styleId="55">
    <w:name w:val="标题 9 Char"/>
    <w:link w:val="10"/>
    <w:semiHidden/>
    <w:qFormat/>
    <w:uiPriority w:val="9"/>
    <w:rPr>
      <w:rFonts w:ascii="Cambria" w:hAnsi="Cambria" w:eastAsia="宋体" w:cs="Times New Roman"/>
      <w:i/>
      <w:iCs/>
      <w:color w:val="404040"/>
      <w:sz w:val="20"/>
      <w:szCs w:val="20"/>
    </w:rPr>
  </w:style>
  <w:style w:type="character" w:customStyle="1" w:styleId="56">
    <w:name w:val="标题 Char"/>
    <w:link w:val="26"/>
    <w:uiPriority w:val="10"/>
    <w:rPr>
      <w:rFonts w:ascii="Cambria" w:hAnsi="Cambria" w:eastAsia="宋体" w:cs="Times New Roman"/>
      <w:color w:val="343434"/>
      <w:spacing w:val="5"/>
      <w:kern w:val="28"/>
      <w:sz w:val="52"/>
      <w:szCs w:val="52"/>
    </w:rPr>
  </w:style>
  <w:style w:type="character" w:customStyle="1" w:styleId="57">
    <w:name w:val="副标题 Char"/>
    <w:link w:val="22"/>
    <w:qFormat/>
    <w:uiPriority w:val="11"/>
    <w:rPr>
      <w:rFonts w:ascii="Cambria" w:hAnsi="Cambria" w:eastAsia="宋体" w:cs="Times New Roman"/>
      <w:i/>
      <w:iCs/>
      <w:color w:val="2DA2BF"/>
      <w:spacing w:val="15"/>
      <w:sz w:val="24"/>
      <w:szCs w:val="24"/>
    </w:rPr>
  </w:style>
  <w:style w:type="paragraph" w:styleId="58">
    <w:name w:val="No Spacing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styleId="59">
    <w:name w:val="List Paragraph"/>
    <w:basedOn w:val="1"/>
    <w:qFormat/>
    <w:uiPriority w:val="34"/>
    <w:pPr>
      <w:ind w:left="720"/>
      <w:contextualSpacing/>
    </w:pPr>
  </w:style>
  <w:style w:type="paragraph" w:styleId="60">
    <w:name w:val="Quote"/>
    <w:basedOn w:val="1"/>
    <w:next w:val="1"/>
    <w:link w:val="61"/>
    <w:qFormat/>
    <w:uiPriority w:val="29"/>
    <w:rPr>
      <w:i/>
      <w:iCs/>
      <w:color w:val="000000"/>
      <w:sz w:val="20"/>
      <w:szCs w:val="20"/>
    </w:rPr>
  </w:style>
  <w:style w:type="character" w:customStyle="1" w:styleId="61">
    <w:name w:val="引用 Char"/>
    <w:link w:val="60"/>
    <w:qFormat/>
    <w:uiPriority w:val="29"/>
    <w:rPr>
      <w:i/>
      <w:iCs/>
      <w:color w:val="000000"/>
    </w:rPr>
  </w:style>
  <w:style w:type="paragraph" w:styleId="62">
    <w:name w:val="Intense Quote"/>
    <w:basedOn w:val="1"/>
    <w:next w:val="1"/>
    <w:link w:val="63"/>
    <w:qFormat/>
    <w:uiPriority w:val="30"/>
    <w:pPr>
      <w:pBdr>
        <w:bottom w:val="single" w:color="2DA2BF" w:sz="4" w:space="4"/>
      </w:pBdr>
      <w:spacing w:before="200" w:after="280"/>
      <w:ind w:left="936" w:right="936"/>
    </w:pPr>
    <w:rPr>
      <w:b/>
      <w:bCs/>
      <w:i/>
      <w:iCs/>
      <w:color w:val="2DA2BF"/>
      <w:sz w:val="20"/>
      <w:szCs w:val="20"/>
    </w:rPr>
  </w:style>
  <w:style w:type="character" w:customStyle="1" w:styleId="63">
    <w:name w:val="明显引用 Char"/>
    <w:link w:val="62"/>
    <w:uiPriority w:val="30"/>
    <w:rPr>
      <w:b/>
      <w:bCs/>
      <w:i/>
      <w:iCs/>
      <w:color w:val="2DA2BF"/>
    </w:rPr>
  </w:style>
  <w:style w:type="character" w:customStyle="1" w:styleId="64">
    <w:name w:val="Subtle Emphasis"/>
    <w:qFormat/>
    <w:uiPriority w:val="19"/>
    <w:rPr>
      <w:i/>
      <w:iCs/>
      <w:color w:val="808080"/>
    </w:rPr>
  </w:style>
  <w:style w:type="character" w:customStyle="1" w:styleId="65">
    <w:name w:val="Intense Emphasis"/>
    <w:qFormat/>
    <w:uiPriority w:val="21"/>
    <w:rPr>
      <w:b/>
      <w:bCs/>
      <w:i/>
      <w:iCs/>
      <w:color w:val="2DA2BF"/>
    </w:rPr>
  </w:style>
  <w:style w:type="character" w:customStyle="1" w:styleId="66">
    <w:name w:val="Subtle Reference"/>
    <w:qFormat/>
    <w:uiPriority w:val="31"/>
    <w:rPr>
      <w:smallCaps/>
      <w:color w:val="DA1F28"/>
      <w:u w:val="single"/>
    </w:rPr>
  </w:style>
  <w:style w:type="character" w:customStyle="1" w:styleId="67">
    <w:name w:val="Intense Reference"/>
    <w:qFormat/>
    <w:uiPriority w:val="32"/>
    <w:rPr>
      <w:b/>
      <w:bCs/>
      <w:smallCaps/>
      <w:color w:val="DA1F28"/>
      <w:spacing w:val="5"/>
      <w:u w:val="single"/>
    </w:rPr>
  </w:style>
  <w:style w:type="character" w:customStyle="1" w:styleId="68">
    <w:name w:val="Book Title"/>
    <w:qFormat/>
    <w:uiPriority w:val="33"/>
    <w:rPr>
      <w:b/>
      <w:bCs/>
      <w:smallCaps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PRC</Company>
  <Pages>8</Pages>
  <Words>440</Words>
  <Characters>2510</Characters>
  <Lines>20</Lines>
  <Paragraphs>5</Paragraphs>
  <TotalTime>0</TotalTime>
  <ScaleCrop>false</ScaleCrop>
  <LinksUpToDate>false</LinksUpToDate>
  <CharactersWithSpaces>2945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2018-12-17T06:54:00Z</dcterms:created>
  <dc:creator>Admin</dc:creator>
  <cp:lastModifiedBy>格靓跟单</cp:lastModifiedBy>
  <cp:lastPrinted>2014-04-08T01:30:00Z</cp:lastPrinted>
  <dcterms:modified xsi:type="dcterms:W3CDTF">2019-01-16T00:41:58Z</dcterms:modified>
  <dc:title>Create Date: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